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F9A4" w14:textId="26D11B5A" w:rsidR="00955692" w:rsidRDefault="00955692">
      <w:pPr>
        <w:tabs>
          <w:tab w:val="right" w:pos="9360"/>
        </w:tabs>
        <w:suppressAutoHyphens/>
        <w:jc w:val="both"/>
        <w:rPr>
          <w:b/>
          <w:spacing w:val="-3"/>
          <w:lang w:val="en-US"/>
        </w:rPr>
      </w:pPr>
      <w:r>
        <w:rPr>
          <w:b/>
          <w:spacing w:val="-3"/>
          <w:lang w:val="en-US"/>
        </w:rPr>
        <w:tab/>
      </w:r>
    </w:p>
    <w:p w14:paraId="302CEC3C" w14:textId="1B569CCB" w:rsidR="00955692" w:rsidRPr="00FD1754" w:rsidRDefault="00955692" w:rsidP="00A13673">
      <w:pPr>
        <w:tabs>
          <w:tab w:val="center" w:pos="4680"/>
        </w:tabs>
        <w:suppressAutoHyphens/>
        <w:jc w:val="center"/>
        <w:rPr>
          <w:spacing w:val="-3"/>
          <w:lang w:val="fr-FR"/>
        </w:rPr>
      </w:pPr>
      <w:r>
        <w:rPr>
          <w:b/>
          <w:spacing w:val="-3"/>
          <w:lang w:val="fr"/>
        </w:rPr>
        <w:t xml:space="preserve">AVIS GÉNÉRAL DE </w:t>
      </w:r>
      <w:r w:rsidR="00FD1754">
        <w:rPr>
          <w:b/>
          <w:spacing w:val="-3"/>
          <w:lang w:val="fr"/>
        </w:rPr>
        <w:t xml:space="preserve">PASSATION DE </w:t>
      </w:r>
      <w:r>
        <w:rPr>
          <w:b/>
          <w:spacing w:val="-3"/>
          <w:lang w:val="fr"/>
        </w:rPr>
        <w:t>MARCHÉ</w:t>
      </w:r>
    </w:p>
    <w:p w14:paraId="466F839A" w14:textId="77777777" w:rsidR="00955692" w:rsidRPr="00FD1754" w:rsidRDefault="00955692">
      <w:pPr>
        <w:tabs>
          <w:tab w:val="left" w:pos="-720"/>
        </w:tabs>
        <w:suppressAutoHyphens/>
        <w:jc w:val="both"/>
        <w:rPr>
          <w:spacing w:val="-3"/>
          <w:lang w:val="fr-FR"/>
        </w:rPr>
      </w:pPr>
    </w:p>
    <w:tbl>
      <w:tblPr>
        <w:tblW w:w="0" w:type="auto"/>
        <w:tblInd w:w="120" w:type="dxa"/>
        <w:tblLayout w:type="fixed"/>
        <w:tblCellMar>
          <w:left w:w="120" w:type="dxa"/>
          <w:right w:w="120" w:type="dxa"/>
        </w:tblCellMar>
        <w:tblLook w:val="0000" w:firstRow="0" w:lastRow="0" w:firstColumn="0" w:lastColumn="0" w:noHBand="0" w:noVBand="0"/>
      </w:tblPr>
      <w:tblGrid>
        <w:gridCol w:w="3043"/>
        <w:gridCol w:w="6317"/>
      </w:tblGrid>
      <w:tr w:rsidR="00955692" w:rsidRPr="0039298B" w14:paraId="2A2F4A41" w14:textId="77777777">
        <w:tc>
          <w:tcPr>
            <w:tcW w:w="9360" w:type="dxa"/>
            <w:gridSpan w:val="2"/>
            <w:tcBorders>
              <w:top w:val="double" w:sz="6" w:space="0" w:color="auto"/>
              <w:left w:val="double" w:sz="6" w:space="0" w:color="auto"/>
              <w:bottom w:val="double" w:sz="6" w:space="0" w:color="auto"/>
              <w:right w:val="double" w:sz="6" w:space="0" w:color="auto"/>
            </w:tcBorders>
          </w:tcPr>
          <w:p w14:paraId="3F188190" w14:textId="57CCFA2E" w:rsidR="00955692" w:rsidRPr="00CE09E0" w:rsidRDefault="003F7FBE" w:rsidP="00E0092A">
            <w:pPr>
              <w:tabs>
                <w:tab w:val="center" w:pos="4560"/>
              </w:tabs>
              <w:suppressAutoHyphens/>
              <w:spacing w:before="90" w:after="54"/>
              <w:jc w:val="center"/>
              <w:rPr>
                <w:rFonts w:ascii="Times New Roman" w:hAnsi="Times New Roman"/>
                <w:color w:val="000000"/>
                <w:spacing w:val="-3"/>
                <w:lang w:val="fr-FR"/>
              </w:rPr>
            </w:pPr>
            <w:r>
              <w:rPr>
                <w:b/>
                <w:bCs/>
                <w:color w:val="000000"/>
                <w:spacing w:val="-3"/>
                <w:lang w:val="fr"/>
              </w:rPr>
              <w:t xml:space="preserve">AUTORITÉ DE RÉGULATION </w:t>
            </w:r>
            <w:r w:rsidR="00FD1754">
              <w:rPr>
                <w:b/>
                <w:bCs/>
                <w:color w:val="000000"/>
                <w:spacing w:val="-3"/>
                <w:lang w:val="fr"/>
              </w:rPr>
              <w:t xml:space="preserve">RÉGIONALE </w:t>
            </w:r>
            <w:r w:rsidR="005765F8">
              <w:rPr>
                <w:b/>
                <w:bCs/>
                <w:color w:val="000000"/>
                <w:spacing w:val="-3"/>
                <w:lang w:val="fr"/>
              </w:rPr>
              <w:t xml:space="preserve">DU SECTEUR </w:t>
            </w:r>
            <w:r>
              <w:rPr>
                <w:b/>
                <w:bCs/>
                <w:color w:val="000000"/>
                <w:spacing w:val="-3"/>
                <w:lang w:val="fr"/>
              </w:rPr>
              <w:t>DE L’ÉLECTRICITÉ DE LA CEDEAO (</w:t>
            </w:r>
            <w:r w:rsidR="00FD1754">
              <w:rPr>
                <w:b/>
                <w:bCs/>
                <w:color w:val="000000"/>
                <w:spacing w:val="-3"/>
                <w:lang w:val="fr"/>
              </w:rPr>
              <w:t>ARREC</w:t>
            </w:r>
            <w:r>
              <w:rPr>
                <w:b/>
                <w:bCs/>
                <w:color w:val="000000"/>
                <w:spacing w:val="-3"/>
                <w:lang w:val="fr"/>
              </w:rPr>
              <w:t>)</w:t>
            </w:r>
          </w:p>
        </w:tc>
      </w:tr>
      <w:tr w:rsidR="00955692" w:rsidRPr="0039298B" w14:paraId="093E62D0" w14:textId="77777777">
        <w:tc>
          <w:tcPr>
            <w:tcW w:w="9360" w:type="dxa"/>
            <w:gridSpan w:val="2"/>
            <w:tcBorders>
              <w:top w:val="double" w:sz="6" w:space="0" w:color="auto"/>
              <w:left w:val="double" w:sz="6" w:space="0" w:color="auto"/>
              <w:bottom w:val="double" w:sz="6" w:space="0" w:color="auto"/>
              <w:right w:val="double" w:sz="6" w:space="0" w:color="auto"/>
            </w:tcBorders>
          </w:tcPr>
          <w:p w14:paraId="73406A64" w14:textId="4D585A25" w:rsidR="00955692" w:rsidRPr="00CE09E0" w:rsidRDefault="00955692" w:rsidP="003F7FBE">
            <w:pPr>
              <w:spacing w:line="276" w:lineRule="auto"/>
              <w:jc w:val="center"/>
              <w:rPr>
                <w:b/>
                <w:lang w:val="fr-FR" w:eastAsia="fr-FR"/>
              </w:rPr>
            </w:pPr>
            <w:r>
              <w:rPr>
                <w:spacing w:val="-3"/>
                <w:lang w:val="fr"/>
              </w:rPr>
              <w:tab/>
            </w:r>
            <w:bookmarkStart w:id="0" w:name="_Hlk102659351"/>
            <w:r w:rsidR="00FD1754">
              <w:rPr>
                <w:b/>
                <w:lang w:val="fr" w:eastAsia="fr-FR"/>
              </w:rPr>
              <w:t>PROJET : H</w:t>
            </w:r>
            <w:r w:rsidR="003F7FBE" w:rsidRPr="001365EC">
              <w:rPr>
                <w:b/>
                <w:lang w:val="fr" w:eastAsia="fr-FR"/>
              </w:rPr>
              <w:t>ARMONISATION RÉGIONALE DES CADRES RÉGLEMENTAIRES ET DES OUTILS POUR AMÉLIORER LA RÉG</w:t>
            </w:r>
            <w:r w:rsidR="00FD1754">
              <w:rPr>
                <w:b/>
                <w:lang w:val="fr" w:eastAsia="fr-FR"/>
              </w:rPr>
              <w:t>ULATION</w:t>
            </w:r>
            <w:r w:rsidR="003F7FBE" w:rsidRPr="001365EC">
              <w:rPr>
                <w:b/>
                <w:lang w:val="fr" w:eastAsia="fr-FR"/>
              </w:rPr>
              <w:t xml:space="preserve"> DE L’ÉLECTRICITÉ DANS L</w:t>
            </w:r>
            <w:r w:rsidR="00FD1754">
              <w:rPr>
                <w:b/>
                <w:lang w:val="fr" w:eastAsia="fr-FR"/>
              </w:rPr>
              <w:t>A CEDEAO</w:t>
            </w:r>
            <w:bookmarkEnd w:id="0"/>
          </w:p>
        </w:tc>
      </w:tr>
      <w:tr w:rsidR="00955692" w:rsidRPr="0039298B" w14:paraId="690621FA" w14:textId="77777777">
        <w:tblPrEx>
          <w:jc w:val="center"/>
          <w:tblInd w:w="0" w:type="dxa"/>
        </w:tblPrEx>
        <w:trPr>
          <w:gridAfter w:val="1"/>
          <w:wAfter w:w="6317" w:type="dxa"/>
          <w:jc w:val="center"/>
        </w:trPr>
        <w:tc>
          <w:tcPr>
            <w:tcW w:w="3043" w:type="dxa"/>
            <w:tcBorders>
              <w:top w:val="double" w:sz="6" w:space="0" w:color="auto"/>
              <w:left w:val="double" w:sz="6" w:space="0" w:color="auto"/>
              <w:bottom w:val="double" w:sz="6" w:space="0" w:color="auto"/>
              <w:right w:val="double" w:sz="6" w:space="0" w:color="auto"/>
            </w:tcBorders>
          </w:tcPr>
          <w:p w14:paraId="39616901" w14:textId="77777777" w:rsidR="00955692" w:rsidRPr="00CE09E0" w:rsidRDefault="00955692">
            <w:pPr>
              <w:tabs>
                <w:tab w:val="center" w:pos="1402"/>
              </w:tabs>
              <w:suppressAutoHyphens/>
              <w:spacing w:before="90" w:after="54"/>
              <w:rPr>
                <w:spacing w:val="-3"/>
                <w:lang w:val="fr-FR"/>
              </w:rPr>
            </w:pPr>
          </w:p>
        </w:tc>
      </w:tr>
      <w:tr w:rsidR="00955692" w:rsidRPr="0039298B" w14:paraId="49279E4D" w14:textId="77777777">
        <w:tc>
          <w:tcPr>
            <w:tcW w:w="9360" w:type="dxa"/>
            <w:gridSpan w:val="2"/>
            <w:tcBorders>
              <w:top w:val="double" w:sz="6" w:space="0" w:color="auto"/>
              <w:left w:val="double" w:sz="6" w:space="0" w:color="auto"/>
              <w:bottom w:val="double" w:sz="6" w:space="0" w:color="auto"/>
              <w:right w:val="double" w:sz="6" w:space="0" w:color="auto"/>
            </w:tcBorders>
          </w:tcPr>
          <w:p w14:paraId="2B527320" w14:textId="77777777" w:rsidR="00955692" w:rsidRPr="00E0092A" w:rsidRDefault="00955692" w:rsidP="00A13673">
            <w:pPr>
              <w:tabs>
                <w:tab w:val="left" w:pos="-720"/>
              </w:tabs>
              <w:suppressAutoHyphens/>
              <w:spacing w:before="90"/>
              <w:jc w:val="both"/>
              <w:rPr>
                <w:rFonts w:ascii="Times New Roman" w:hAnsi="Times New Roman"/>
                <w:spacing w:val="-3"/>
                <w:sz w:val="22"/>
                <w:szCs w:val="22"/>
                <w:lang w:val="fr-FR"/>
              </w:rPr>
            </w:pPr>
          </w:p>
          <w:p w14:paraId="15175D68" w14:textId="4A118ACF" w:rsidR="00955692" w:rsidRPr="00E0092A" w:rsidRDefault="00955692" w:rsidP="00A13673">
            <w:pPr>
              <w:tabs>
                <w:tab w:val="center" w:pos="4560"/>
              </w:tabs>
              <w:suppressAutoHyphens/>
              <w:jc w:val="both"/>
              <w:rPr>
                <w:rFonts w:ascii="Times New Roman" w:hAnsi="Times New Roman"/>
                <w:spacing w:val="-3"/>
                <w:sz w:val="22"/>
                <w:szCs w:val="22"/>
                <w:lang w:val="fr-FR"/>
              </w:rPr>
            </w:pPr>
            <w:r w:rsidRPr="00E0092A">
              <w:rPr>
                <w:rFonts w:ascii="Times New Roman" w:hAnsi="Times New Roman"/>
                <w:b/>
                <w:spacing w:val="-3"/>
                <w:sz w:val="22"/>
                <w:szCs w:val="22"/>
                <w:lang w:val="fr"/>
              </w:rPr>
              <w:tab/>
              <w:t>AVIS GÉNÉRAL DE</w:t>
            </w:r>
            <w:r w:rsidR="00FD1754" w:rsidRPr="00E0092A">
              <w:rPr>
                <w:rFonts w:ascii="Times New Roman" w:hAnsi="Times New Roman"/>
                <w:b/>
                <w:spacing w:val="-3"/>
                <w:sz w:val="22"/>
                <w:szCs w:val="22"/>
                <w:lang w:val="fr"/>
              </w:rPr>
              <w:t xml:space="preserve"> PASSATION DE</w:t>
            </w:r>
            <w:r w:rsidRPr="00E0092A">
              <w:rPr>
                <w:rFonts w:ascii="Times New Roman" w:hAnsi="Times New Roman"/>
                <w:b/>
                <w:spacing w:val="-3"/>
                <w:sz w:val="22"/>
                <w:szCs w:val="22"/>
                <w:lang w:val="fr"/>
              </w:rPr>
              <w:t xml:space="preserve"> MARCHÉ</w:t>
            </w:r>
          </w:p>
          <w:p w14:paraId="3C671CE6"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p>
          <w:p w14:paraId="5ACC6D48" w14:textId="66C7CB84" w:rsidR="00955692" w:rsidRPr="00E0092A" w:rsidRDefault="00955692" w:rsidP="00A13673">
            <w:pPr>
              <w:tabs>
                <w:tab w:val="left" w:pos="-720"/>
              </w:tabs>
              <w:suppressAutoHyphens/>
              <w:jc w:val="both"/>
              <w:rPr>
                <w:rFonts w:ascii="Times New Roman" w:hAnsi="Times New Roman"/>
                <w:spacing w:val="-3"/>
                <w:sz w:val="22"/>
                <w:szCs w:val="22"/>
                <w:lang w:val="fr-FR"/>
              </w:rPr>
            </w:pPr>
            <w:r w:rsidRPr="00E0092A">
              <w:rPr>
                <w:rFonts w:ascii="Times New Roman" w:hAnsi="Times New Roman"/>
                <w:spacing w:val="-3"/>
                <w:sz w:val="22"/>
                <w:szCs w:val="22"/>
                <w:lang w:val="fr"/>
              </w:rPr>
              <w:t xml:space="preserve">1. L’Autorité de Régulation </w:t>
            </w:r>
            <w:r w:rsidR="00FD1754" w:rsidRPr="00E0092A">
              <w:rPr>
                <w:rFonts w:ascii="Times New Roman" w:hAnsi="Times New Roman"/>
                <w:spacing w:val="-3"/>
                <w:sz w:val="22"/>
                <w:szCs w:val="22"/>
                <w:lang w:val="fr"/>
              </w:rPr>
              <w:t xml:space="preserve">Régionale </w:t>
            </w:r>
            <w:r w:rsidRPr="00E0092A">
              <w:rPr>
                <w:rFonts w:ascii="Times New Roman" w:hAnsi="Times New Roman"/>
                <w:spacing w:val="-3"/>
                <w:sz w:val="22"/>
                <w:szCs w:val="22"/>
                <w:lang w:val="fr"/>
              </w:rPr>
              <w:t>de l’Electricité de la CEDEAO (</w:t>
            </w:r>
            <w:r w:rsidR="00FD1754" w:rsidRPr="00E0092A">
              <w:rPr>
                <w:rFonts w:ascii="Times New Roman" w:hAnsi="Times New Roman"/>
                <w:spacing w:val="-3"/>
                <w:sz w:val="22"/>
                <w:szCs w:val="22"/>
                <w:lang w:val="fr"/>
              </w:rPr>
              <w:t>ARREC</w:t>
            </w:r>
            <w:r w:rsidRPr="00E0092A">
              <w:rPr>
                <w:rFonts w:ascii="Times New Roman" w:hAnsi="Times New Roman"/>
                <w:spacing w:val="-3"/>
                <w:sz w:val="22"/>
                <w:szCs w:val="22"/>
                <w:lang w:val="fr"/>
              </w:rPr>
              <w:t>) a reçu un don de la Banque Africaine de Développement pour financer son Projet relatif à «</w:t>
            </w:r>
            <w:r w:rsidRPr="00E0092A">
              <w:rPr>
                <w:rFonts w:ascii="Times New Roman" w:hAnsi="Times New Roman"/>
                <w:lang w:val="fr"/>
              </w:rPr>
              <w:t xml:space="preserve"> </w:t>
            </w:r>
            <w:r w:rsidR="0021283D" w:rsidRPr="00E0092A">
              <w:rPr>
                <w:rFonts w:ascii="Times New Roman" w:hAnsi="Times New Roman"/>
                <w:bCs/>
                <w:sz w:val="22"/>
                <w:szCs w:val="22"/>
                <w:lang w:val="fr" w:eastAsia="fr-FR"/>
              </w:rPr>
              <w:t xml:space="preserve">l’Harmonisation Régionale des Cadres Réglementaires et des Outils pour une Amélioration de la Régulation de l’Electricité dans la </w:t>
            </w:r>
            <w:proofErr w:type="gramStart"/>
            <w:r w:rsidR="0021283D" w:rsidRPr="00E0092A">
              <w:rPr>
                <w:rFonts w:ascii="Times New Roman" w:hAnsi="Times New Roman"/>
                <w:bCs/>
                <w:sz w:val="22"/>
                <w:szCs w:val="22"/>
                <w:lang w:val="fr" w:eastAsia="fr-FR"/>
              </w:rPr>
              <w:t>CEDEAO»</w:t>
            </w:r>
            <w:proofErr w:type="gramEnd"/>
            <w:r w:rsidR="0021283D" w:rsidRPr="00E0092A">
              <w:rPr>
                <w:rFonts w:ascii="Times New Roman" w:hAnsi="Times New Roman"/>
                <w:bCs/>
                <w:sz w:val="22"/>
                <w:szCs w:val="22"/>
                <w:lang w:val="fr" w:eastAsia="fr-FR"/>
              </w:rPr>
              <w:t>.</w:t>
            </w:r>
            <w:r w:rsidRPr="00E0092A">
              <w:rPr>
                <w:rFonts w:ascii="Times New Roman" w:hAnsi="Times New Roman"/>
                <w:lang w:val="fr"/>
              </w:rPr>
              <w:t xml:space="preserve"> </w:t>
            </w:r>
          </w:p>
          <w:p w14:paraId="6F89592A"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p>
          <w:p w14:paraId="032EA3B0" w14:textId="77777777" w:rsidR="00955692" w:rsidRPr="00E0092A" w:rsidRDefault="00955692" w:rsidP="00A13673">
            <w:pPr>
              <w:tabs>
                <w:tab w:val="left" w:pos="-720"/>
              </w:tabs>
              <w:suppressAutoHyphens/>
              <w:jc w:val="both"/>
              <w:rPr>
                <w:rFonts w:ascii="Times New Roman" w:hAnsi="Times New Roman"/>
                <w:sz w:val="22"/>
                <w:szCs w:val="22"/>
                <w:lang w:val="fr-FR"/>
              </w:rPr>
            </w:pPr>
            <w:r w:rsidRPr="00E0092A">
              <w:rPr>
                <w:rFonts w:ascii="Times New Roman" w:hAnsi="Times New Roman"/>
                <w:spacing w:val="-3"/>
                <w:sz w:val="22"/>
                <w:szCs w:val="22"/>
                <w:lang w:val="fr"/>
              </w:rPr>
              <w:t>2. L’objectif principal de ce projet est</w:t>
            </w:r>
            <w:r w:rsidRPr="00E0092A">
              <w:rPr>
                <w:rFonts w:ascii="Times New Roman" w:hAnsi="Times New Roman"/>
                <w:lang w:val="fr"/>
              </w:rPr>
              <w:t xml:space="preserve"> de fournir aux quinze (15) pays membres de la CEDEAO des </w:t>
            </w:r>
            <w:r w:rsidR="00DD03F3" w:rsidRPr="00E0092A">
              <w:rPr>
                <w:rFonts w:ascii="Times New Roman" w:hAnsi="Times New Roman"/>
                <w:sz w:val="22"/>
                <w:szCs w:val="22"/>
                <w:lang w:val="fr"/>
              </w:rPr>
              <w:t>outils (à travers une combinaison d’études et de renforcement des capacités) pour harmoniser les cadres réglementaires des pays membres de la CEDEAO afin d’améliorer le commerce régional et durable de l’électricité.</w:t>
            </w:r>
          </w:p>
          <w:p w14:paraId="2F4A3B21" w14:textId="77777777" w:rsidR="00DD03F3" w:rsidRPr="00E0092A" w:rsidRDefault="00DD03F3" w:rsidP="00A13673">
            <w:pPr>
              <w:tabs>
                <w:tab w:val="left" w:pos="-720"/>
              </w:tabs>
              <w:suppressAutoHyphens/>
              <w:jc w:val="both"/>
              <w:rPr>
                <w:rFonts w:ascii="Times New Roman" w:hAnsi="Times New Roman"/>
                <w:spacing w:val="-3"/>
                <w:sz w:val="22"/>
                <w:szCs w:val="22"/>
                <w:lang w:val="fr-FR"/>
              </w:rPr>
            </w:pPr>
          </w:p>
          <w:p w14:paraId="4DCB3090"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r w:rsidRPr="00E0092A">
              <w:rPr>
                <w:rFonts w:ascii="Times New Roman" w:hAnsi="Times New Roman"/>
                <w:spacing w:val="-3"/>
                <w:sz w:val="22"/>
                <w:szCs w:val="22"/>
                <w:lang w:val="fr"/>
              </w:rPr>
              <w:t>3. Le projet comprend les éléments suivants :</w:t>
            </w:r>
          </w:p>
          <w:p w14:paraId="0712F169"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p>
          <w:p w14:paraId="7CC40E9A" w14:textId="33500DEA" w:rsidR="00DD03F3" w:rsidRPr="00E0092A" w:rsidRDefault="00DD03F3" w:rsidP="00A13673">
            <w:pPr>
              <w:pStyle w:val="ListParagraph"/>
              <w:numPr>
                <w:ilvl w:val="0"/>
                <w:numId w:val="1"/>
              </w:numPr>
              <w:autoSpaceDE w:val="0"/>
              <w:autoSpaceDN w:val="0"/>
              <w:adjustRightInd w:val="0"/>
              <w:spacing w:before="120" w:after="120" w:line="276" w:lineRule="auto"/>
              <w:jc w:val="both"/>
              <w:rPr>
                <w:sz w:val="22"/>
                <w:lang w:val="fr-FR"/>
              </w:rPr>
            </w:pPr>
            <w:r w:rsidRPr="00E0092A">
              <w:rPr>
                <w:b/>
                <w:iCs/>
                <w:sz w:val="22"/>
                <w:lang w:val="fr"/>
              </w:rPr>
              <w:t xml:space="preserve">Composante 1 : Elaboration d’indicateurs clés de performance (KPI) réglementaires et </w:t>
            </w:r>
            <w:r w:rsidR="00FD1754" w:rsidRPr="00E0092A">
              <w:rPr>
                <w:b/>
                <w:iCs/>
                <w:sz w:val="22"/>
                <w:lang w:val="fr"/>
              </w:rPr>
              <w:t xml:space="preserve">de services publics d’électricité </w:t>
            </w:r>
            <w:r w:rsidRPr="00E0092A">
              <w:rPr>
                <w:b/>
                <w:iCs/>
                <w:sz w:val="22"/>
                <w:lang w:val="fr"/>
              </w:rPr>
              <w:t>pour la CEDEAO</w:t>
            </w:r>
          </w:p>
          <w:p w14:paraId="08711266" w14:textId="5D23226C" w:rsidR="006D5254" w:rsidRPr="00E0092A" w:rsidRDefault="006D5254" w:rsidP="00A13673">
            <w:pPr>
              <w:pStyle w:val="NoSpacing"/>
              <w:spacing w:line="276" w:lineRule="auto"/>
              <w:ind w:left="720"/>
              <w:jc w:val="both"/>
              <w:rPr>
                <w:rFonts w:ascii="Times New Roman" w:hAnsi="Times New Roman"/>
              </w:rPr>
            </w:pPr>
            <w:r w:rsidRPr="00E0092A">
              <w:rPr>
                <w:rFonts w:ascii="Times New Roman" w:hAnsi="Times New Roman"/>
                <w:lang w:val="fr"/>
              </w:rPr>
              <w:t xml:space="preserve">Un aspect de cette composante implique une approche consultative pour élaborer, contextualiser et adopter les meilleurs principes réglementaires et indicateurs de performance clés pour la région de la CEDEAO. Cela impliquera l’élaboration de lignes directrices et de cadres sensibles au genre qui épousent les principes réglementaires, les pratiques et les indicateurs de performance clés (KPI) qui seront adoptés par les ministres de l’Énergie de la CEDEAO. Ces indicateurs clés de performance seront systématiquement appliqués en tant qu’outil pour les </w:t>
            </w:r>
            <w:r w:rsidR="005765F8">
              <w:rPr>
                <w:rFonts w:ascii="Times New Roman" w:hAnsi="Times New Roman"/>
                <w:lang w:val="fr"/>
              </w:rPr>
              <w:t>revue</w:t>
            </w:r>
            <w:r w:rsidR="005765F8" w:rsidRPr="00E0092A">
              <w:rPr>
                <w:rFonts w:ascii="Times New Roman" w:hAnsi="Times New Roman"/>
                <w:lang w:val="fr"/>
              </w:rPr>
              <w:t xml:space="preserve">s </w:t>
            </w:r>
            <w:r w:rsidRPr="00E0092A">
              <w:rPr>
                <w:rFonts w:ascii="Times New Roman" w:hAnsi="Times New Roman"/>
                <w:lang w:val="fr"/>
              </w:rPr>
              <w:t xml:space="preserve">réglementaires </w:t>
            </w:r>
            <w:r w:rsidR="005765F8" w:rsidRPr="00E0092A">
              <w:rPr>
                <w:rFonts w:ascii="Times New Roman" w:hAnsi="Times New Roman"/>
                <w:lang w:val="fr"/>
              </w:rPr>
              <w:t>réguli</w:t>
            </w:r>
            <w:r w:rsidR="005765F8">
              <w:rPr>
                <w:rFonts w:ascii="Times New Roman" w:hAnsi="Times New Roman"/>
                <w:lang w:val="fr"/>
              </w:rPr>
              <w:t>ères</w:t>
            </w:r>
            <w:r w:rsidR="005765F8" w:rsidRPr="00E0092A">
              <w:rPr>
                <w:rFonts w:ascii="Times New Roman" w:hAnsi="Times New Roman"/>
                <w:lang w:val="fr"/>
              </w:rPr>
              <w:t xml:space="preserve"> </w:t>
            </w:r>
            <w:r w:rsidRPr="00E0092A">
              <w:rPr>
                <w:rFonts w:ascii="Times New Roman" w:hAnsi="Times New Roman"/>
                <w:lang w:val="fr"/>
              </w:rPr>
              <w:t>par les pairs dans la région afin de suivre les progrès de l’adoption et de la mise en œuvre par les pays membres. L’autre dimension de cette composante du projet est l’élaboration d’un ensemble de données comparatives normalisées et d’indicateurs clés de performance des services publics (</w:t>
            </w:r>
            <w:proofErr w:type="spellStart"/>
            <w:r w:rsidRPr="00E0092A">
              <w:rPr>
                <w:rFonts w:ascii="Times New Roman" w:hAnsi="Times New Roman"/>
                <w:lang w:val="fr"/>
              </w:rPr>
              <w:t>UKPI</w:t>
            </w:r>
            <w:r w:rsidR="00FD1754" w:rsidRPr="00E0092A">
              <w:rPr>
                <w:rFonts w:ascii="Times New Roman" w:hAnsi="Times New Roman"/>
                <w:lang w:val="fr"/>
              </w:rPr>
              <w:t>s</w:t>
            </w:r>
            <w:proofErr w:type="spellEnd"/>
            <w:r w:rsidRPr="00E0092A">
              <w:rPr>
                <w:rFonts w:ascii="Times New Roman" w:hAnsi="Times New Roman"/>
                <w:lang w:val="fr"/>
              </w:rPr>
              <w:t xml:space="preserve">) pour la région afin d’évaluer, de comparer et de suivre uniformément la performance des services publics </w:t>
            </w:r>
            <w:r w:rsidR="00FD1754" w:rsidRPr="00E0092A">
              <w:rPr>
                <w:rFonts w:ascii="Times New Roman" w:hAnsi="Times New Roman"/>
                <w:lang w:val="fr"/>
              </w:rPr>
              <w:t xml:space="preserve">d’électricité </w:t>
            </w:r>
            <w:r w:rsidRPr="00E0092A">
              <w:rPr>
                <w:rFonts w:ascii="Times New Roman" w:hAnsi="Times New Roman"/>
                <w:lang w:val="fr"/>
              </w:rPr>
              <w:t>dans les pays membres à des fins d’</w:t>
            </w:r>
            <w:r w:rsidR="00FD1754" w:rsidRPr="00E0092A">
              <w:rPr>
                <w:rFonts w:ascii="Times New Roman" w:hAnsi="Times New Roman"/>
                <w:lang w:val="fr"/>
              </w:rPr>
              <w:t>analyse comparative</w:t>
            </w:r>
            <w:r w:rsidRPr="00E0092A">
              <w:rPr>
                <w:rFonts w:ascii="Times New Roman" w:hAnsi="Times New Roman"/>
                <w:lang w:val="fr"/>
              </w:rPr>
              <w:t xml:space="preserve">. Les KPI des services publics seraient alignés sur l’étude </w:t>
            </w:r>
            <w:r w:rsidR="00FD1754" w:rsidRPr="00E0092A">
              <w:rPr>
                <w:rFonts w:ascii="Times New Roman" w:hAnsi="Times New Roman"/>
                <w:lang w:val="fr"/>
              </w:rPr>
              <w:t>« </w:t>
            </w:r>
            <w:r w:rsidRPr="00E0092A">
              <w:rPr>
                <w:rFonts w:ascii="Times New Roman" w:hAnsi="Times New Roman"/>
                <w:lang w:val="fr"/>
              </w:rPr>
              <w:t>d’évaluation des services publics</w:t>
            </w:r>
            <w:r w:rsidR="00FD1754" w:rsidRPr="00E0092A">
              <w:rPr>
                <w:rFonts w:ascii="Times New Roman" w:hAnsi="Times New Roman"/>
                <w:lang w:val="fr"/>
              </w:rPr>
              <w:t xml:space="preserve"> d’électricité</w:t>
            </w:r>
            <w:r w:rsidRPr="00E0092A">
              <w:rPr>
                <w:rFonts w:ascii="Times New Roman" w:hAnsi="Times New Roman"/>
                <w:lang w:val="fr"/>
              </w:rPr>
              <w:t xml:space="preserve"> en Afrique</w:t>
            </w:r>
            <w:r w:rsidR="00FD1754" w:rsidRPr="00E0092A">
              <w:rPr>
                <w:rFonts w:ascii="Times New Roman" w:hAnsi="Times New Roman"/>
                <w:lang w:val="fr"/>
              </w:rPr>
              <w:t> »</w:t>
            </w:r>
            <w:r w:rsidRPr="00E0092A">
              <w:rPr>
                <w:rFonts w:ascii="Times New Roman" w:hAnsi="Times New Roman"/>
                <w:lang w:val="fr"/>
              </w:rPr>
              <w:t xml:space="preserve"> de la Banque mondiale et sur l’élaboration de la « Performance et comportement des services publics en Afrique aujourd’hui (UPBEAT) » réalisée en collaboration </w:t>
            </w:r>
            <w:r w:rsidR="00FD1754" w:rsidRPr="00E0092A">
              <w:rPr>
                <w:rFonts w:ascii="Times New Roman" w:hAnsi="Times New Roman"/>
                <w:lang w:val="fr"/>
              </w:rPr>
              <w:t>par</w:t>
            </w:r>
            <w:r w:rsidRPr="00E0092A">
              <w:rPr>
                <w:rFonts w:ascii="Times New Roman" w:hAnsi="Times New Roman"/>
                <w:lang w:val="fr"/>
              </w:rPr>
              <w:t xml:space="preserve"> la BAD et l’Association des services publics d’électricité d’Afrique (APUA) et contextualisés dans la CEDEAO à des fins de rég</w:t>
            </w:r>
            <w:r w:rsidR="00FD1754" w:rsidRPr="00E0092A">
              <w:rPr>
                <w:rFonts w:ascii="Times New Roman" w:hAnsi="Times New Roman"/>
                <w:lang w:val="fr"/>
              </w:rPr>
              <w:t>ulatio</w:t>
            </w:r>
            <w:r w:rsidRPr="00E0092A">
              <w:rPr>
                <w:rFonts w:ascii="Times New Roman" w:hAnsi="Times New Roman"/>
                <w:lang w:val="fr"/>
              </w:rPr>
              <w:t xml:space="preserve">n et d’harmonisation régionale. Les capacités seront renforcées dans les pays membres de la CEDEAO pour soutenir le développement et la maturation des KPI réglementaires et </w:t>
            </w:r>
            <w:r w:rsidR="00FD1754" w:rsidRPr="00E0092A">
              <w:rPr>
                <w:rFonts w:ascii="Times New Roman" w:hAnsi="Times New Roman"/>
                <w:lang w:val="fr"/>
              </w:rPr>
              <w:t xml:space="preserve">de service </w:t>
            </w:r>
            <w:r w:rsidR="008D1CC4" w:rsidRPr="00E0092A">
              <w:rPr>
                <w:rFonts w:ascii="Times New Roman" w:hAnsi="Times New Roman"/>
                <w:lang w:val="fr"/>
              </w:rPr>
              <w:t>public adoptés</w:t>
            </w:r>
            <w:r w:rsidRPr="00E0092A">
              <w:rPr>
                <w:rFonts w:ascii="Times New Roman" w:hAnsi="Times New Roman"/>
                <w:lang w:val="fr"/>
              </w:rPr>
              <w:t xml:space="preserve"> et des rapports sur les plateformes numériques communes. Cette composante institutionnalisera également la publication annuelle d’un rapport sur la performance des services publics </w:t>
            </w:r>
            <w:r w:rsidR="001C1193" w:rsidRPr="00E0092A">
              <w:rPr>
                <w:rFonts w:ascii="Times New Roman" w:hAnsi="Times New Roman"/>
                <w:lang w:val="fr"/>
              </w:rPr>
              <w:t>d’électricité dans</w:t>
            </w:r>
            <w:r w:rsidRPr="00E0092A">
              <w:rPr>
                <w:rFonts w:ascii="Times New Roman" w:hAnsi="Times New Roman"/>
                <w:lang w:val="fr"/>
              </w:rPr>
              <w:t xml:space="preserve"> les pays membres de la CEDEAO avec des recommandations spécifiques et un guide pour améliorer la performance des services publics, y compris la gestion </w:t>
            </w:r>
            <w:r w:rsidRPr="00E0092A">
              <w:rPr>
                <w:rFonts w:ascii="Times New Roman" w:hAnsi="Times New Roman"/>
                <w:lang w:val="fr"/>
              </w:rPr>
              <w:lastRenderedPageBreak/>
              <w:t xml:space="preserve">des émissions de GES dans le secteur de l’énergie </w:t>
            </w:r>
            <w:r w:rsidR="005765F8" w:rsidRPr="00E0092A">
              <w:rPr>
                <w:rFonts w:ascii="Times New Roman" w:hAnsi="Times New Roman"/>
                <w:lang w:val="fr"/>
              </w:rPr>
              <w:t>d</w:t>
            </w:r>
            <w:r w:rsidR="005765F8">
              <w:rPr>
                <w:rFonts w:ascii="Times New Roman" w:hAnsi="Times New Roman"/>
                <w:lang w:val="fr"/>
              </w:rPr>
              <w:t>e</w:t>
            </w:r>
            <w:r w:rsidR="005765F8" w:rsidRPr="00E0092A">
              <w:rPr>
                <w:rFonts w:ascii="Times New Roman" w:hAnsi="Times New Roman"/>
                <w:lang w:val="fr"/>
              </w:rPr>
              <w:t xml:space="preserve"> </w:t>
            </w:r>
            <w:r w:rsidRPr="00E0092A">
              <w:rPr>
                <w:rFonts w:ascii="Times New Roman" w:hAnsi="Times New Roman"/>
                <w:lang w:val="fr"/>
              </w:rPr>
              <w:t>la CEDEAO. L’élaboration et l’adoption d’un UKPI régional qui intègre des mesures de surveillance, de gestion et de déclaration des émissions de GES dans la CEDEAO seront incluses.</w:t>
            </w:r>
          </w:p>
          <w:p w14:paraId="74DB8E9F" w14:textId="77777777" w:rsidR="006D5254" w:rsidRPr="00E0092A" w:rsidRDefault="006D5254" w:rsidP="00A13673">
            <w:pPr>
              <w:pStyle w:val="NoSpacing"/>
              <w:spacing w:line="276" w:lineRule="auto"/>
              <w:jc w:val="both"/>
              <w:rPr>
                <w:rFonts w:ascii="Times New Roman" w:hAnsi="Times New Roman"/>
              </w:rPr>
            </w:pPr>
          </w:p>
          <w:p w14:paraId="25FB531D" w14:textId="77777777" w:rsidR="006D5254" w:rsidRPr="00E0092A" w:rsidRDefault="006D5254" w:rsidP="00A13673">
            <w:pPr>
              <w:pStyle w:val="ListParagraph"/>
              <w:numPr>
                <w:ilvl w:val="0"/>
                <w:numId w:val="1"/>
              </w:numPr>
              <w:autoSpaceDE w:val="0"/>
              <w:autoSpaceDN w:val="0"/>
              <w:adjustRightInd w:val="0"/>
              <w:spacing w:before="120" w:after="120" w:line="276" w:lineRule="auto"/>
              <w:jc w:val="both"/>
              <w:rPr>
                <w:b/>
                <w:bCs/>
                <w:iCs/>
                <w:sz w:val="22"/>
                <w:lang w:val="fr-FR"/>
              </w:rPr>
            </w:pPr>
            <w:r w:rsidRPr="00E0092A">
              <w:rPr>
                <w:b/>
                <w:bCs/>
                <w:iCs/>
                <w:sz w:val="22"/>
                <w:lang w:val="fr"/>
              </w:rPr>
              <w:t xml:space="preserve">Composante 2 : Comparaison harmonisée des tarifs de l’électricité (HCET) dans la CEDEAO et évaluation de la réflectivité des coûts </w:t>
            </w:r>
          </w:p>
          <w:p w14:paraId="35B041FF" w14:textId="27EC65C6" w:rsidR="006D5254" w:rsidRPr="00E0092A" w:rsidRDefault="006D5254" w:rsidP="00A13673">
            <w:pPr>
              <w:shd w:val="clear" w:color="auto" w:fill="FFFFFF"/>
              <w:spacing w:after="270" w:line="276" w:lineRule="auto"/>
              <w:ind w:left="720"/>
              <w:contextualSpacing/>
              <w:jc w:val="both"/>
              <w:textAlignment w:val="baseline"/>
              <w:rPr>
                <w:rFonts w:ascii="Times New Roman" w:hAnsi="Times New Roman"/>
                <w:sz w:val="22"/>
                <w:szCs w:val="22"/>
                <w:lang w:val="fr-FR"/>
              </w:rPr>
            </w:pPr>
            <w:r w:rsidRPr="00E0092A">
              <w:rPr>
                <w:rFonts w:ascii="Times New Roman" w:hAnsi="Times New Roman"/>
                <w:sz w:val="22"/>
                <w:szCs w:val="22"/>
                <w:lang w:val="fr"/>
              </w:rPr>
              <w:t>Dans le cadre de cette composante, la Banque aidera l’</w:t>
            </w:r>
            <w:r w:rsidR="00C2057B" w:rsidRPr="00E0092A">
              <w:rPr>
                <w:rFonts w:ascii="Times New Roman" w:hAnsi="Times New Roman"/>
                <w:sz w:val="22"/>
                <w:szCs w:val="22"/>
                <w:lang w:val="fr"/>
              </w:rPr>
              <w:t>ARREC</w:t>
            </w:r>
            <w:r w:rsidRPr="00E0092A">
              <w:rPr>
                <w:rFonts w:ascii="Times New Roman" w:hAnsi="Times New Roman"/>
                <w:sz w:val="22"/>
                <w:szCs w:val="22"/>
                <w:lang w:val="fr"/>
              </w:rPr>
              <w:t xml:space="preserve"> à entreprendre une étude empirique sensible au genre afin de mettre à jour le rapport sur l’analyse comparative des tarifs de l’électricité dans la CEDEAO qui a été élaboré en 2019 et d’inclure un cadre et un outil d’évaluation de la réflectivité des coûts. Cette composante comprendra la mise à jour des données tarifaires pour tous les </w:t>
            </w:r>
            <w:r w:rsidR="00C2057B" w:rsidRPr="00E0092A">
              <w:rPr>
                <w:rFonts w:ascii="Times New Roman" w:hAnsi="Times New Roman"/>
                <w:sz w:val="22"/>
                <w:szCs w:val="22"/>
                <w:lang w:val="fr"/>
              </w:rPr>
              <w:t xml:space="preserve">Etats </w:t>
            </w:r>
            <w:r w:rsidRPr="00E0092A">
              <w:rPr>
                <w:rFonts w:ascii="Times New Roman" w:hAnsi="Times New Roman"/>
                <w:sz w:val="22"/>
                <w:szCs w:val="22"/>
                <w:lang w:val="fr"/>
              </w:rPr>
              <w:t xml:space="preserve">membres ainsi qu’une analyse comparative des tarifs régionaux de l’électricité et des facteurs sous-jacents, en mettant l’accent sur la réflectivité des coûts. L’autre aspect de cette composante consistera également à élaborer un cadre et un outil sensibles au genre pour suivre et évaluer le processus de migration des pays vers la </w:t>
            </w:r>
            <w:r w:rsidR="005765F8" w:rsidRPr="00E0092A">
              <w:rPr>
                <w:rFonts w:ascii="Times New Roman" w:hAnsi="Times New Roman"/>
                <w:sz w:val="22"/>
                <w:szCs w:val="22"/>
                <w:lang w:val="fr"/>
              </w:rPr>
              <w:t>réflecti</w:t>
            </w:r>
            <w:r w:rsidR="005765F8">
              <w:rPr>
                <w:rFonts w:ascii="Times New Roman" w:hAnsi="Times New Roman"/>
                <w:sz w:val="22"/>
                <w:szCs w:val="22"/>
                <w:lang w:val="fr"/>
              </w:rPr>
              <w:t>vité</w:t>
            </w:r>
            <w:r w:rsidR="005765F8" w:rsidRPr="00E0092A">
              <w:rPr>
                <w:rFonts w:ascii="Times New Roman" w:hAnsi="Times New Roman"/>
                <w:sz w:val="22"/>
                <w:szCs w:val="22"/>
                <w:lang w:val="fr"/>
              </w:rPr>
              <w:t xml:space="preserve"> </w:t>
            </w:r>
            <w:r w:rsidRPr="00E0092A">
              <w:rPr>
                <w:rFonts w:ascii="Times New Roman" w:hAnsi="Times New Roman"/>
                <w:sz w:val="22"/>
                <w:szCs w:val="22"/>
                <w:lang w:val="fr"/>
              </w:rPr>
              <w:t>des coûts des tarifs, conformément à la décision des ministres de l’énergie de la CEDEAO, qui ont exhorté les États membres à migrer vers des tarifs reflétant les coûts afin d’encourager l’investissement dans le secteur de l’énergie. Le cadre et l’outil d’évaluation mettront l’accent sur l’alignement des tarifs sociaux dans la région de la CEDEAO ciblant les ménages pauvres et les ménages dirigés par des femmes.</w:t>
            </w:r>
          </w:p>
          <w:p w14:paraId="45E0B1E5" w14:textId="015F0E13" w:rsidR="006D5254" w:rsidRPr="00E0092A" w:rsidRDefault="006D5254" w:rsidP="00A13673">
            <w:pPr>
              <w:pStyle w:val="ListParagraph"/>
              <w:numPr>
                <w:ilvl w:val="0"/>
                <w:numId w:val="1"/>
              </w:numPr>
              <w:autoSpaceDE w:val="0"/>
              <w:autoSpaceDN w:val="0"/>
              <w:adjustRightInd w:val="0"/>
              <w:spacing w:before="120" w:after="120" w:line="276" w:lineRule="auto"/>
              <w:jc w:val="both"/>
              <w:rPr>
                <w:b/>
                <w:iCs/>
                <w:sz w:val="22"/>
                <w:lang w:val="fr-FR"/>
              </w:rPr>
            </w:pPr>
            <w:r w:rsidRPr="00E0092A">
              <w:rPr>
                <w:b/>
                <w:bCs/>
                <w:iCs/>
                <w:sz w:val="22"/>
                <w:lang w:val="fr"/>
              </w:rPr>
              <w:t xml:space="preserve">Composante 3 : Développement d’un système de gestion de </w:t>
            </w:r>
            <w:r w:rsidR="00FF6379" w:rsidRPr="00FF6379">
              <w:rPr>
                <w:b/>
                <w:bCs/>
                <w:iCs/>
                <w:sz w:val="22"/>
                <w:lang w:val="fr"/>
              </w:rPr>
              <w:t>la base de données d'informations sur l'énergie</w:t>
            </w:r>
            <w:r w:rsidRPr="00E0092A">
              <w:rPr>
                <w:b/>
                <w:bCs/>
                <w:iCs/>
                <w:sz w:val="22"/>
                <w:lang w:val="fr"/>
              </w:rPr>
              <w:t xml:space="preserve"> tenant compte du climat (</w:t>
            </w:r>
            <w:r w:rsidR="00C2057B" w:rsidRPr="00E0092A">
              <w:rPr>
                <w:b/>
                <w:bCs/>
                <w:lang w:val="fr-FR"/>
              </w:rPr>
              <w:t>EIDBMS</w:t>
            </w:r>
            <w:r w:rsidRPr="00E0092A">
              <w:rPr>
                <w:b/>
                <w:bCs/>
                <w:iCs/>
                <w:sz w:val="22"/>
                <w:lang w:val="fr"/>
              </w:rPr>
              <w:t>)</w:t>
            </w:r>
          </w:p>
          <w:p w14:paraId="58158B5C" w14:textId="36AB938B" w:rsidR="006D5254" w:rsidRPr="00E0092A" w:rsidRDefault="006D5254" w:rsidP="00A13673">
            <w:pPr>
              <w:pStyle w:val="NoSpacing"/>
              <w:spacing w:line="276" w:lineRule="auto"/>
              <w:ind w:left="720"/>
              <w:jc w:val="both"/>
              <w:rPr>
                <w:rFonts w:ascii="Times New Roman" w:hAnsi="Times New Roman"/>
              </w:rPr>
            </w:pPr>
            <w:r w:rsidRPr="00E0092A">
              <w:rPr>
                <w:rFonts w:ascii="Times New Roman" w:hAnsi="Times New Roman"/>
                <w:lang w:val="fr"/>
              </w:rPr>
              <w:t xml:space="preserve">Cette composante du projet établira, entre autres, un système centralisé d’information et de base de données qui sera hébergé </w:t>
            </w:r>
            <w:r w:rsidR="00FF6379">
              <w:rPr>
                <w:rFonts w:ascii="Times New Roman" w:hAnsi="Times New Roman"/>
                <w:lang w:val="fr"/>
              </w:rPr>
              <w:t>à</w:t>
            </w:r>
            <w:r w:rsidRPr="00E0092A">
              <w:rPr>
                <w:rFonts w:ascii="Times New Roman" w:hAnsi="Times New Roman"/>
                <w:lang w:val="fr"/>
              </w:rPr>
              <w:t xml:space="preserve"> l’</w:t>
            </w:r>
            <w:r w:rsidR="00C2057B" w:rsidRPr="00E0092A">
              <w:rPr>
                <w:rFonts w:ascii="Times New Roman" w:hAnsi="Times New Roman"/>
                <w:lang w:val="fr"/>
              </w:rPr>
              <w:t>ARREC</w:t>
            </w:r>
            <w:r w:rsidRPr="00E0092A">
              <w:rPr>
                <w:rFonts w:ascii="Times New Roman" w:hAnsi="Times New Roman"/>
                <w:lang w:val="fr"/>
              </w:rPr>
              <w:t xml:space="preserve"> et permettra aux pays membres d’alimenter et de récupérer directement des informations selon des modèles prédéfinis. Le système de gestion de la base de données sur l’énergie (</w:t>
            </w:r>
            <w:r w:rsidR="00C2057B" w:rsidRPr="00E0092A">
              <w:rPr>
                <w:rFonts w:ascii="Times New Roman" w:hAnsi="Times New Roman"/>
              </w:rPr>
              <w:t>EIDBMS</w:t>
            </w:r>
            <w:r w:rsidRPr="00E0092A">
              <w:rPr>
                <w:rFonts w:ascii="Times New Roman" w:hAnsi="Times New Roman"/>
                <w:lang w:val="fr"/>
              </w:rPr>
              <w:t xml:space="preserve">) permettra la collecte et l’analyse pertinentes de données énergétiques ventilées par </w:t>
            </w:r>
            <w:r w:rsidR="00C2057B" w:rsidRPr="00E0092A">
              <w:rPr>
                <w:rFonts w:ascii="Times New Roman" w:hAnsi="Times New Roman"/>
                <w:lang w:val="fr"/>
              </w:rPr>
              <w:t>genre</w:t>
            </w:r>
            <w:r w:rsidRPr="00E0092A">
              <w:rPr>
                <w:rFonts w:ascii="Times New Roman" w:hAnsi="Times New Roman"/>
                <w:lang w:val="fr"/>
              </w:rPr>
              <w:t xml:space="preserve"> afin de combler les écarts entre les sexes dans le secteur de l’énergie. Le projet renforcera également la capacité des régulateurs, des services publics participants et d’autres parties prenantes concernées dans la CEDEAO à télécharger, gérer, mettre à jour et récupérer des informations sur le </w:t>
            </w:r>
            <w:r w:rsidR="00C2057B" w:rsidRPr="00E0092A">
              <w:rPr>
                <w:rFonts w:ascii="Times New Roman" w:hAnsi="Times New Roman"/>
              </w:rPr>
              <w:t>EIDBMS</w:t>
            </w:r>
            <w:r w:rsidRPr="00E0092A">
              <w:rPr>
                <w:rFonts w:ascii="Times New Roman" w:hAnsi="Times New Roman"/>
                <w:lang w:val="fr"/>
              </w:rPr>
              <w:t xml:space="preserve">. Le </w:t>
            </w:r>
            <w:r w:rsidR="00C2057B" w:rsidRPr="00E0092A">
              <w:rPr>
                <w:rFonts w:ascii="Times New Roman" w:hAnsi="Times New Roman"/>
              </w:rPr>
              <w:t>EIDBMS</w:t>
            </w:r>
            <w:r w:rsidRPr="00E0092A">
              <w:rPr>
                <w:rFonts w:ascii="Times New Roman" w:hAnsi="Times New Roman"/>
                <w:lang w:val="fr"/>
              </w:rPr>
              <w:t xml:space="preserve"> aura des fonctionnalités pour une intégration transparente avec des sites, des portails et des systèmes tiers, y compris la plate-forme UPBEAT. Les données climatiques nécessaires pour prendre des décisions éclairées dans le cadre des KPI réglementaires et des services publics seront systématiquement collectées dans le cadre du </w:t>
            </w:r>
            <w:r w:rsidR="00C2057B" w:rsidRPr="00E0092A">
              <w:rPr>
                <w:rFonts w:ascii="Times New Roman" w:hAnsi="Times New Roman"/>
              </w:rPr>
              <w:t>EIDBMS</w:t>
            </w:r>
            <w:r w:rsidRPr="00E0092A">
              <w:rPr>
                <w:rFonts w:ascii="Times New Roman" w:hAnsi="Times New Roman"/>
                <w:lang w:val="fr"/>
              </w:rPr>
              <w:t>.</w:t>
            </w:r>
          </w:p>
          <w:p w14:paraId="4D903B36" w14:textId="77777777" w:rsidR="006D5254" w:rsidRPr="00E0092A" w:rsidRDefault="006D5254" w:rsidP="00A13673">
            <w:pPr>
              <w:pStyle w:val="ListParagraph"/>
              <w:numPr>
                <w:ilvl w:val="0"/>
                <w:numId w:val="1"/>
              </w:numPr>
              <w:autoSpaceDE w:val="0"/>
              <w:autoSpaceDN w:val="0"/>
              <w:adjustRightInd w:val="0"/>
              <w:spacing w:before="120" w:after="120" w:line="276" w:lineRule="auto"/>
              <w:jc w:val="both"/>
              <w:rPr>
                <w:b/>
                <w:bCs/>
                <w:iCs/>
                <w:sz w:val="22"/>
                <w:lang w:val="fr-FR"/>
              </w:rPr>
            </w:pPr>
            <w:r w:rsidRPr="00E0092A">
              <w:rPr>
                <w:b/>
                <w:bCs/>
                <w:iCs/>
                <w:sz w:val="22"/>
                <w:lang w:val="fr"/>
              </w:rPr>
              <w:t>Composante 4 : Évaluation des goulets d’étranglement et des risques liés à l’investissement dans les pays membres de la CEDEAO</w:t>
            </w:r>
          </w:p>
          <w:p w14:paraId="313C6AF3" w14:textId="00F55478" w:rsidR="006D5254" w:rsidRPr="00E0092A" w:rsidRDefault="006D5254" w:rsidP="00A13673">
            <w:pPr>
              <w:autoSpaceDE w:val="0"/>
              <w:autoSpaceDN w:val="0"/>
              <w:adjustRightInd w:val="0"/>
              <w:spacing w:before="120" w:after="120" w:line="276" w:lineRule="auto"/>
              <w:ind w:left="720"/>
              <w:jc w:val="both"/>
              <w:rPr>
                <w:rFonts w:ascii="Times New Roman" w:hAnsi="Times New Roman"/>
                <w:bCs/>
                <w:iCs/>
                <w:sz w:val="22"/>
                <w:szCs w:val="22"/>
                <w:lang w:val="fr-FR"/>
              </w:rPr>
            </w:pPr>
            <w:r w:rsidRPr="00E0092A">
              <w:rPr>
                <w:rFonts w:ascii="Times New Roman" w:hAnsi="Times New Roman"/>
                <w:bCs/>
                <w:iCs/>
                <w:sz w:val="22"/>
                <w:szCs w:val="22"/>
                <w:lang w:val="fr"/>
              </w:rPr>
              <w:t xml:space="preserve">Cela impliquera une étude sensible au genre pour évaluer les goulets d’étranglement et les risques d’investissement dans les pays membres de la CEDEAO et recommander une approche cohérente pour éliminer progressivement les obstacles de terrain à l’investissement dans le secteur de l’électricité dans les phases pré et post-établissement du marché régional de l’électricité dans le but de stimuler l’investissement dans la région. L’évaluation comprendra une analyse comparative </w:t>
            </w:r>
            <w:r w:rsidR="00C2057B" w:rsidRPr="00E0092A">
              <w:rPr>
                <w:rFonts w:ascii="Times New Roman" w:hAnsi="Times New Roman"/>
                <w:bCs/>
                <w:iCs/>
                <w:sz w:val="22"/>
                <w:szCs w:val="22"/>
                <w:lang w:val="fr"/>
              </w:rPr>
              <w:t>en fonction du genre</w:t>
            </w:r>
            <w:r w:rsidRPr="00E0092A">
              <w:rPr>
                <w:rFonts w:ascii="Times New Roman" w:hAnsi="Times New Roman"/>
                <w:bCs/>
                <w:iCs/>
                <w:sz w:val="22"/>
                <w:szCs w:val="22"/>
                <w:lang w:val="fr"/>
              </w:rPr>
              <w:t xml:space="preserve"> et recommandera des stratégies pratiques pour combler l’écart entre les sexes. Cette étude sera empirique et couvrira des projets régionaux ainsi que des projets nationaux dans les pays membres ayant des impacts régionaux. Les résultats de cette composante constitueront la base de l’élaboration et de l’approbation des critères de </w:t>
            </w:r>
            <w:r w:rsidRPr="00E0092A">
              <w:rPr>
                <w:rFonts w:ascii="Times New Roman" w:hAnsi="Times New Roman"/>
                <w:bCs/>
                <w:iCs/>
                <w:sz w:val="22"/>
                <w:szCs w:val="22"/>
                <w:lang w:val="fr"/>
              </w:rPr>
              <w:lastRenderedPageBreak/>
              <w:t>sélection des opérateurs impliqués dans le développement des infrastructures électriques régionales par l’EEEOA et l’</w:t>
            </w:r>
            <w:r w:rsidR="00C2057B" w:rsidRPr="00E0092A">
              <w:rPr>
                <w:rFonts w:ascii="Times New Roman" w:hAnsi="Times New Roman"/>
                <w:bCs/>
                <w:iCs/>
                <w:sz w:val="22"/>
                <w:szCs w:val="22"/>
                <w:lang w:val="fr"/>
              </w:rPr>
              <w:t>ARREC</w:t>
            </w:r>
            <w:r w:rsidRPr="00E0092A">
              <w:rPr>
                <w:rFonts w:ascii="Times New Roman" w:hAnsi="Times New Roman"/>
                <w:bCs/>
                <w:iCs/>
                <w:sz w:val="22"/>
                <w:szCs w:val="22"/>
                <w:lang w:val="fr"/>
              </w:rPr>
              <w:t xml:space="preserve"> respectivement.</w:t>
            </w:r>
          </w:p>
          <w:p w14:paraId="75DFA811" w14:textId="77777777" w:rsidR="006D5254" w:rsidRPr="00E0092A" w:rsidRDefault="006D5254" w:rsidP="00A13673">
            <w:pPr>
              <w:pStyle w:val="ListParagraph"/>
              <w:numPr>
                <w:ilvl w:val="0"/>
                <w:numId w:val="1"/>
              </w:numPr>
              <w:autoSpaceDE w:val="0"/>
              <w:autoSpaceDN w:val="0"/>
              <w:adjustRightInd w:val="0"/>
              <w:spacing w:before="120" w:after="120" w:line="276" w:lineRule="auto"/>
              <w:jc w:val="both"/>
              <w:rPr>
                <w:b/>
                <w:bCs/>
                <w:iCs/>
                <w:sz w:val="22"/>
                <w:lang w:val="en-GB"/>
              </w:rPr>
            </w:pPr>
            <w:r w:rsidRPr="00E0092A">
              <w:rPr>
                <w:b/>
                <w:bCs/>
                <w:iCs/>
                <w:sz w:val="22"/>
                <w:lang w:val="fr"/>
              </w:rPr>
              <w:t xml:space="preserve"> Composante 5 : Gestion du programme</w:t>
            </w:r>
          </w:p>
          <w:p w14:paraId="203F926F" w14:textId="6F480E84" w:rsidR="006D5254" w:rsidRPr="00E0092A" w:rsidRDefault="00FF6379" w:rsidP="00FF6379">
            <w:pPr>
              <w:spacing w:line="276" w:lineRule="auto"/>
              <w:ind w:left="720"/>
              <w:jc w:val="both"/>
              <w:rPr>
                <w:rFonts w:ascii="Times New Roman" w:hAnsi="Times New Roman"/>
                <w:sz w:val="22"/>
                <w:szCs w:val="22"/>
                <w:lang w:val="fr-FR"/>
              </w:rPr>
            </w:pPr>
            <w:bookmarkStart w:id="1" w:name="_Hlk71213326"/>
            <w:r>
              <w:rPr>
                <w:rFonts w:ascii="Times New Roman" w:hAnsi="Times New Roman"/>
                <w:sz w:val="22"/>
                <w:szCs w:val="22"/>
                <w:lang w:val="fr"/>
              </w:rPr>
              <w:t>L’</w:t>
            </w:r>
            <w:r w:rsidR="00C2057B" w:rsidRPr="00E0092A">
              <w:rPr>
                <w:rFonts w:ascii="Times New Roman" w:hAnsi="Times New Roman"/>
                <w:sz w:val="22"/>
                <w:szCs w:val="22"/>
                <w:lang w:val="fr"/>
              </w:rPr>
              <w:t>ARREC</w:t>
            </w:r>
            <w:r w:rsidR="006D5254" w:rsidRPr="00E0092A">
              <w:rPr>
                <w:rFonts w:ascii="Times New Roman" w:hAnsi="Times New Roman"/>
                <w:sz w:val="22"/>
                <w:szCs w:val="22"/>
                <w:lang w:val="fr"/>
              </w:rPr>
              <w:t xml:space="preserve"> sera responsable de la mise en œuvre, de la coordination et du suivi du projet. Une unité </w:t>
            </w:r>
            <w:r w:rsidR="00C2057B" w:rsidRPr="00E0092A">
              <w:rPr>
                <w:rFonts w:ascii="Times New Roman" w:hAnsi="Times New Roman"/>
                <w:sz w:val="22"/>
                <w:szCs w:val="22"/>
                <w:lang w:val="fr"/>
              </w:rPr>
              <w:t>de gestio</w:t>
            </w:r>
            <w:r w:rsidR="006D5254" w:rsidRPr="00E0092A">
              <w:rPr>
                <w:rFonts w:ascii="Times New Roman" w:hAnsi="Times New Roman"/>
                <w:sz w:val="22"/>
                <w:szCs w:val="22"/>
                <w:lang w:val="fr"/>
              </w:rPr>
              <w:t>n du projet sera créée avec les ressources techniques nécessaires et sera appuyée par des experts de l’</w:t>
            </w:r>
            <w:r w:rsidR="00C2057B" w:rsidRPr="00E0092A">
              <w:rPr>
                <w:rFonts w:ascii="Times New Roman" w:hAnsi="Times New Roman"/>
                <w:sz w:val="22"/>
                <w:szCs w:val="22"/>
                <w:lang w:val="fr"/>
              </w:rPr>
              <w:t>ARREC</w:t>
            </w:r>
            <w:r w:rsidR="006D5254" w:rsidRPr="00E0092A">
              <w:rPr>
                <w:rFonts w:ascii="Times New Roman" w:hAnsi="Times New Roman"/>
                <w:sz w:val="22"/>
                <w:szCs w:val="22"/>
                <w:lang w:val="fr"/>
              </w:rPr>
              <w:t xml:space="preserve">. </w:t>
            </w:r>
            <w:bookmarkEnd w:id="1"/>
          </w:p>
          <w:p w14:paraId="41E16259" w14:textId="77777777" w:rsidR="00955692" w:rsidRPr="00E0092A" w:rsidRDefault="006D5254" w:rsidP="00A13673">
            <w:pPr>
              <w:tabs>
                <w:tab w:val="left" w:pos="-720"/>
              </w:tabs>
              <w:suppressAutoHyphens/>
              <w:jc w:val="both"/>
              <w:rPr>
                <w:rFonts w:ascii="Times New Roman" w:hAnsi="Times New Roman"/>
                <w:spacing w:val="-3"/>
                <w:sz w:val="22"/>
                <w:szCs w:val="22"/>
                <w:lang w:val="fr-FR"/>
              </w:rPr>
            </w:pPr>
            <w:r w:rsidRPr="00E0092A">
              <w:rPr>
                <w:rFonts w:ascii="Times New Roman" w:hAnsi="Times New Roman"/>
                <w:b/>
                <w:spacing w:val="-3"/>
                <w:sz w:val="22"/>
                <w:szCs w:val="22"/>
                <w:lang w:val="fr-FR"/>
              </w:rPr>
              <w:br w:type="page"/>
            </w:r>
          </w:p>
          <w:p w14:paraId="7E86C8BE" w14:textId="77777777" w:rsidR="00955692" w:rsidRPr="00E0092A" w:rsidRDefault="00955692" w:rsidP="00A13673">
            <w:pPr>
              <w:tabs>
                <w:tab w:val="left" w:pos="-720"/>
              </w:tabs>
              <w:suppressAutoHyphens/>
              <w:spacing w:line="276" w:lineRule="auto"/>
              <w:jc w:val="both"/>
              <w:rPr>
                <w:rFonts w:ascii="Times New Roman" w:hAnsi="Times New Roman"/>
                <w:spacing w:val="-3"/>
                <w:sz w:val="22"/>
                <w:szCs w:val="22"/>
                <w:lang w:val="fr-FR"/>
              </w:rPr>
            </w:pPr>
            <w:r w:rsidRPr="00E0092A">
              <w:rPr>
                <w:rFonts w:ascii="Times New Roman" w:hAnsi="Times New Roman"/>
                <w:spacing w:val="-3"/>
                <w:sz w:val="22"/>
                <w:szCs w:val="22"/>
                <w:lang w:val="fr"/>
              </w:rPr>
              <w:t>4. L’achat de biens et de services, financé par la Banque, sera effectué conformément à la politique de passation des marchés de la Banque pour les opérations financées par le Groupe de la Banque datée d’octobre 2015 et aux dispositions énoncées dans l’accord de don. Les documents d’appel d’offres devraient être disponibles au troisième trimestre de 2023.</w:t>
            </w:r>
          </w:p>
          <w:p w14:paraId="13D02E1E"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p>
          <w:p w14:paraId="3485E993"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r w:rsidRPr="00E0092A">
              <w:rPr>
                <w:rFonts w:ascii="Times New Roman" w:hAnsi="Times New Roman"/>
                <w:spacing w:val="-3"/>
                <w:sz w:val="22"/>
                <w:szCs w:val="22"/>
                <w:lang w:val="fr"/>
              </w:rPr>
              <w:t>5. Les soumissionnaires intéressés peuvent obtenir de plus amples renseignements et confirmer leur intérêt en communiquant avec :</w:t>
            </w:r>
          </w:p>
          <w:p w14:paraId="105E7A7B" w14:textId="77777777" w:rsidR="00955692" w:rsidRPr="00E0092A" w:rsidRDefault="00955692" w:rsidP="00A13673">
            <w:pPr>
              <w:tabs>
                <w:tab w:val="left" w:pos="-720"/>
              </w:tabs>
              <w:suppressAutoHyphens/>
              <w:jc w:val="both"/>
              <w:rPr>
                <w:rFonts w:ascii="Times New Roman" w:hAnsi="Times New Roman"/>
                <w:spacing w:val="-3"/>
                <w:sz w:val="22"/>
                <w:szCs w:val="22"/>
                <w:lang w:val="fr-FR"/>
              </w:rPr>
            </w:pPr>
          </w:p>
          <w:p w14:paraId="138D7E81" w14:textId="3D9EAC46" w:rsidR="00EA4507" w:rsidRPr="00E0092A" w:rsidRDefault="00EA4507" w:rsidP="00A13673">
            <w:pPr>
              <w:jc w:val="center"/>
              <w:rPr>
                <w:rFonts w:ascii="Times New Roman" w:hAnsi="Times New Roman"/>
                <w:b/>
                <w:bCs/>
                <w:color w:val="000000"/>
                <w:kern w:val="24"/>
                <w:sz w:val="22"/>
                <w:szCs w:val="22"/>
                <w:lang w:val="fr-FR"/>
              </w:rPr>
            </w:pPr>
            <w:r w:rsidRPr="00E0092A">
              <w:rPr>
                <w:rFonts w:ascii="Times New Roman" w:hAnsi="Times New Roman"/>
                <w:b/>
                <w:bCs/>
                <w:color w:val="000000"/>
                <w:kern w:val="24"/>
                <w:sz w:val="22"/>
                <w:szCs w:val="22"/>
                <w:lang w:val="fr"/>
              </w:rPr>
              <w:t xml:space="preserve">Autorité de </w:t>
            </w:r>
            <w:r w:rsidR="00FF6379">
              <w:rPr>
                <w:rFonts w:ascii="Times New Roman" w:hAnsi="Times New Roman"/>
                <w:b/>
                <w:bCs/>
                <w:color w:val="000000"/>
                <w:kern w:val="24"/>
                <w:sz w:val="22"/>
                <w:szCs w:val="22"/>
                <w:lang w:val="fr"/>
              </w:rPr>
              <w:t>R</w:t>
            </w:r>
            <w:r w:rsidR="00FF6379" w:rsidRPr="00E0092A">
              <w:rPr>
                <w:rFonts w:ascii="Times New Roman" w:hAnsi="Times New Roman"/>
                <w:b/>
                <w:bCs/>
                <w:color w:val="000000"/>
                <w:kern w:val="24"/>
                <w:sz w:val="22"/>
                <w:szCs w:val="22"/>
                <w:lang w:val="fr"/>
              </w:rPr>
              <w:t xml:space="preserve">égulation </w:t>
            </w:r>
            <w:r w:rsidR="00FF6379">
              <w:rPr>
                <w:rFonts w:ascii="Times New Roman" w:hAnsi="Times New Roman"/>
                <w:b/>
                <w:bCs/>
                <w:color w:val="000000"/>
                <w:kern w:val="24"/>
                <w:sz w:val="22"/>
                <w:szCs w:val="22"/>
                <w:lang w:val="fr"/>
              </w:rPr>
              <w:t>R</w:t>
            </w:r>
            <w:r w:rsidR="00FF6379" w:rsidRPr="00E0092A">
              <w:rPr>
                <w:rFonts w:ascii="Times New Roman" w:hAnsi="Times New Roman"/>
                <w:b/>
                <w:bCs/>
                <w:color w:val="000000"/>
                <w:kern w:val="24"/>
                <w:sz w:val="22"/>
                <w:szCs w:val="22"/>
                <w:lang w:val="fr"/>
              </w:rPr>
              <w:t xml:space="preserve">égionale </w:t>
            </w:r>
            <w:r w:rsidR="00FF6379">
              <w:rPr>
                <w:rFonts w:ascii="Times New Roman" w:hAnsi="Times New Roman"/>
                <w:b/>
                <w:bCs/>
                <w:color w:val="000000"/>
                <w:kern w:val="24"/>
                <w:sz w:val="22"/>
                <w:szCs w:val="22"/>
                <w:lang w:val="fr"/>
              </w:rPr>
              <w:t xml:space="preserve">du secteur </w:t>
            </w:r>
            <w:r w:rsidRPr="00E0092A">
              <w:rPr>
                <w:rFonts w:ascii="Times New Roman" w:hAnsi="Times New Roman"/>
                <w:b/>
                <w:bCs/>
                <w:color w:val="000000"/>
                <w:kern w:val="24"/>
                <w:sz w:val="22"/>
                <w:szCs w:val="22"/>
                <w:lang w:val="fr"/>
              </w:rPr>
              <w:t xml:space="preserve">de </w:t>
            </w:r>
            <w:r w:rsidR="00FF6379" w:rsidRPr="00E0092A">
              <w:rPr>
                <w:rFonts w:ascii="Times New Roman" w:hAnsi="Times New Roman"/>
                <w:b/>
                <w:bCs/>
                <w:color w:val="000000"/>
                <w:kern w:val="24"/>
                <w:sz w:val="22"/>
                <w:szCs w:val="22"/>
                <w:lang w:val="fr"/>
              </w:rPr>
              <w:t>l’</w:t>
            </w:r>
            <w:r w:rsidR="00FF6379">
              <w:rPr>
                <w:rFonts w:ascii="Times New Roman" w:hAnsi="Times New Roman"/>
                <w:b/>
                <w:bCs/>
                <w:color w:val="000000"/>
                <w:kern w:val="24"/>
                <w:sz w:val="22"/>
                <w:szCs w:val="22"/>
                <w:lang w:val="fr"/>
              </w:rPr>
              <w:t>E</w:t>
            </w:r>
            <w:r w:rsidR="00FF6379" w:rsidRPr="00E0092A">
              <w:rPr>
                <w:rFonts w:ascii="Times New Roman" w:hAnsi="Times New Roman"/>
                <w:b/>
                <w:bCs/>
                <w:color w:val="000000"/>
                <w:kern w:val="24"/>
                <w:sz w:val="22"/>
                <w:szCs w:val="22"/>
                <w:lang w:val="fr"/>
              </w:rPr>
              <w:t xml:space="preserve">lectricité </w:t>
            </w:r>
            <w:r w:rsidRPr="00E0092A">
              <w:rPr>
                <w:rFonts w:ascii="Times New Roman" w:hAnsi="Times New Roman"/>
                <w:b/>
                <w:bCs/>
                <w:color w:val="000000"/>
                <w:kern w:val="24"/>
                <w:sz w:val="22"/>
                <w:szCs w:val="22"/>
                <w:lang w:val="fr"/>
              </w:rPr>
              <w:t>de la CEDEAO</w:t>
            </w:r>
          </w:p>
          <w:p w14:paraId="19A643D9" w14:textId="77777777" w:rsidR="00FF6379" w:rsidRPr="0039298B" w:rsidRDefault="00FF6379" w:rsidP="00FF6379">
            <w:pPr>
              <w:jc w:val="center"/>
              <w:rPr>
                <w:rFonts w:ascii="Times New Roman" w:hAnsi="Times New Roman"/>
                <w:color w:val="000000"/>
                <w:kern w:val="24"/>
                <w:sz w:val="22"/>
                <w:szCs w:val="22"/>
                <w:lang w:val="en-US"/>
              </w:rPr>
            </w:pPr>
            <w:r w:rsidRPr="0039298B">
              <w:rPr>
                <w:rFonts w:ascii="Times New Roman" w:hAnsi="Times New Roman"/>
                <w:color w:val="000000"/>
                <w:kern w:val="24"/>
                <w:sz w:val="22"/>
                <w:szCs w:val="22"/>
                <w:lang w:val="en-US"/>
              </w:rPr>
              <w:t>Energy Commission Building, Ghana Airways Avenue</w:t>
            </w:r>
          </w:p>
          <w:p w14:paraId="1A85A5DD" w14:textId="77777777" w:rsidR="00FF6379" w:rsidRPr="0039298B" w:rsidRDefault="00FF6379" w:rsidP="00FF6379">
            <w:pPr>
              <w:jc w:val="center"/>
              <w:rPr>
                <w:rFonts w:ascii="Times New Roman" w:hAnsi="Times New Roman"/>
                <w:color w:val="000000"/>
                <w:kern w:val="24"/>
                <w:sz w:val="22"/>
                <w:szCs w:val="22"/>
                <w:lang w:val="en-US"/>
              </w:rPr>
            </w:pPr>
            <w:r w:rsidRPr="0039298B">
              <w:rPr>
                <w:rFonts w:ascii="Times New Roman" w:hAnsi="Times New Roman"/>
                <w:color w:val="000000"/>
                <w:kern w:val="24"/>
                <w:sz w:val="22"/>
                <w:szCs w:val="22"/>
                <w:lang w:val="en-US"/>
              </w:rPr>
              <w:t>Behind Alliance Française, Airport Residential Area</w:t>
            </w:r>
          </w:p>
          <w:p w14:paraId="2B9EC462" w14:textId="24928C1D" w:rsidR="00EA4507" w:rsidRPr="00E0092A" w:rsidRDefault="00FF6379" w:rsidP="00A13673">
            <w:pPr>
              <w:jc w:val="center"/>
              <w:rPr>
                <w:rFonts w:ascii="Times New Roman" w:hAnsi="Times New Roman"/>
                <w:color w:val="000000"/>
                <w:kern w:val="24"/>
                <w:sz w:val="22"/>
                <w:szCs w:val="22"/>
                <w:lang w:val="fr-FR"/>
              </w:rPr>
            </w:pPr>
            <w:r w:rsidRPr="00FF6379">
              <w:rPr>
                <w:rFonts w:ascii="Times New Roman" w:hAnsi="Times New Roman"/>
                <w:color w:val="000000"/>
                <w:kern w:val="24"/>
                <w:sz w:val="22"/>
                <w:szCs w:val="22"/>
                <w:lang w:val="fr"/>
              </w:rPr>
              <w:t xml:space="preserve">PMB 76, </w:t>
            </w:r>
            <w:proofErr w:type="spellStart"/>
            <w:r w:rsidRPr="00FF6379">
              <w:rPr>
                <w:rFonts w:ascii="Times New Roman" w:hAnsi="Times New Roman"/>
                <w:color w:val="000000"/>
                <w:kern w:val="24"/>
                <w:sz w:val="22"/>
                <w:szCs w:val="22"/>
                <w:lang w:val="fr"/>
              </w:rPr>
              <w:t>Ministries</w:t>
            </w:r>
            <w:proofErr w:type="spellEnd"/>
            <w:r w:rsidRPr="00FF6379">
              <w:rPr>
                <w:rFonts w:ascii="Times New Roman" w:hAnsi="Times New Roman"/>
                <w:color w:val="000000"/>
                <w:kern w:val="24"/>
                <w:sz w:val="22"/>
                <w:szCs w:val="22"/>
                <w:lang w:val="fr"/>
              </w:rPr>
              <w:t xml:space="preserve"> Post Office</w:t>
            </w:r>
          </w:p>
          <w:p w14:paraId="04E0BC19" w14:textId="77777777" w:rsidR="00EA4507" w:rsidRPr="00E0092A" w:rsidRDefault="00EA4507" w:rsidP="00A13673">
            <w:pPr>
              <w:jc w:val="center"/>
              <w:rPr>
                <w:rFonts w:ascii="Times New Roman" w:hAnsi="Times New Roman"/>
                <w:color w:val="000000"/>
                <w:kern w:val="24"/>
                <w:sz w:val="22"/>
                <w:szCs w:val="22"/>
                <w:lang w:val="fr-FR"/>
              </w:rPr>
            </w:pPr>
            <w:r w:rsidRPr="00E0092A">
              <w:rPr>
                <w:rFonts w:ascii="Times New Roman" w:hAnsi="Times New Roman"/>
                <w:color w:val="000000"/>
                <w:kern w:val="24"/>
                <w:sz w:val="22"/>
                <w:szCs w:val="22"/>
                <w:lang w:val="fr"/>
              </w:rPr>
              <w:t>Accra, Ghana.</w:t>
            </w:r>
          </w:p>
          <w:p w14:paraId="3C9CAC0D" w14:textId="77777777" w:rsidR="00EA4507" w:rsidRPr="00E0092A" w:rsidRDefault="00EA4507" w:rsidP="00A13673">
            <w:pPr>
              <w:jc w:val="center"/>
              <w:rPr>
                <w:rFonts w:ascii="Times New Roman" w:hAnsi="Times New Roman"/>
                <w:color w:val="000000"/>
                <w:kern w:val="24"/>
                <w:sz w:val="22"/>
                <w:szCs w:val="22"/>
                <w:lang w:val="fr-FR"/>
              </w:rPr>
            </w:pPr>
            <w:proofErr w:type="gramStart"/>
            <w:r w:rsidRPr="00E0092A">
              <w:rPr>
                <w:rFonts w:ascii="Times New Roman" w:hAnsi="Times New Roman"/>
                <w:color w:val="000000"/>
                <w:kern w:val="24"/>
                <w:sz w:val="22"/>
                <w:szCs w:val="22"/>
                <w:lang w:val="fr"/>
              </w:rPr>
              <w:t>Téléphone:</w:t>
            </w:r>
            <w:proofErr w:type="gramEnd"/>
            <w:r w:rsidRPr="00E0092A">
              <w:rPr>
                <w:rFonts w:ascii="Times New Roman" w:hAnsi="Times New Roman"/>
                <w:color w:val="000000"/>
                <w:kern w:val="24"/>
                <w:sz w:val="22"/>
                <w:szCs w:val="22"/>
                <w:lang w:val="fr"/>
              </w:rPr>
              <w:t xml:space="preserve"> +233 302817047 – 9</w:t>
            </w:r>
          </w:p>
          <w:p w14:paraId="61814590" w14:textId="77777777" w:rsidR="00EA4507" w:rsidRPr="00E0092A" w:rsidRDefault="00EA4507" w:rsidP="00A13673">
            <w:pPr>
              <w:jc w:val="center"/>
              <w:rPr>
                <w:rFonts w:ascii="Times New Roman" w:hAnsi="Times New Roman"/>
                <w:color w:val="000000"/>
                <w:kern w:val="24"/>
                <w:sz w:val="22"/>
                <w:szCs w:val="22"/>
                <w:lang w:val="fr-FR"/>
              </w:rPr>
            </w:pPr>
            <w:r w:rsidRPr="00E0092A">
              <w:rPr>
                <w:rFonts w:ascii="Times New Roman" w:hAnsi="Times New Roman"/>
                <w:sz w:val="22"/>
                <w:szCs w:val="22"/>
                <w:lang w:val="fr"/>
              </w:rPr>
              <w:t>Télécopie : 233 (0) 302 817 050</w:t>
            </w:r>
          </w:p>
          <w:p w14:paraId="37569329" w14:textId="77777777" w:rsidR="00EA4507" w:rsidRPr="00E0092A" w:rsidRDefault="00000000" w:rsidP="00A13673">
            <w:pPr>
              <w:autoSpaceDE w:val="0"/>
              <w:autoSpaceDN w:val="0"/>
              <w:adjustRightInd w:val="0"/>
              <w:jc w:val="center"/>
              <w:rPr>
                <w:rStyle w:val="Hyperlink"/>
                <w:rFonts w:ascii="Times New Roman" w:hAnsi="Times New Roman"/>
                <w:sz w:val="22"/>
                <w:szCs w:val="22"/>
                <w:lang w:val="fr-FR"/>
              </w:rPr>
            </w:pPr>
            <w:hyperlink r:id="rId7" w:history="1">
              <w:r w:rsidR="00EA4507" w:rsidRPr="00E0092A">
                <w:rPr>
                  <w:rStyle w:val="Hyperlink"/>
                  <w:rFonts w:ascii="Times New Roman" w:hAnsi="Times New Roman"/>
                  <w:sz w:val="22"/>
                  <w:szCs w:val="22"/>
                  <w:lang w:val="fr"/>
                </w:rPr>
                <w:t>http:// https://www.erera.arrec.org</w:t>
              </w:r>
            </w:hyperlink>
          </w:p>
          <w:p w14:paraId="0F584A50" w14:textId="77777777" w:rsidR="00955692" w:rsidRPr="00E0092A" w:rsidRDefault="00EA4507" w:rsidP="00A13673">
            <w:pPr>
              <w:autoSpaceDE w:val="0"/>
              <w:autoSpaceDN w:val="0"/>
              <w:adjustRightInd w:val="0"/>
              <w:jc w:val="center"/>
              <w:rPr>
                <w:rFonts w:ascii="Times New Roman" w:hAnsi="Times New Roman"/>
                <w:sz w:val="22"/>
                <w:szCs w:val="22"/>
                <w:lang w:val="fr-FR"/>
              </w:rPr>
            </w:pPr>
            <w:r w:rsidRPr="00E0092A">
              <w:rPr>
                <w:rFonts w:ascii="Times New Roman" w:hAnsi="Times New Roman"/>
                <w:sz w:val="22"/>
                <w:szCs w:val="22"/>
                <w:lang w:val="fr"/>
              </w:rPr>
              <w:t xml:space="preserve">Courriel : </w:t>
            </w:r>
            <w:hyperlink r:id="rId8" w:history="1">
              <w:r w:rsidRPr="00E0092A">
                <w:rPr>
                  <w:rStyle w:val="Hyperlink"/>
                  <w:rFonts w:ascii="Times New Roman" w:hAnsi="Times New Roman"/>
                  <w:sz w:val="22"/>
                  <w:szCs w:val="22"/>
                  <w:lang w:val="fr"/>
                </w:rPr>
                <w:t>info@errera.arrec.org</w:t>
              </w:r>
            </w:hyperlink>
          </w:p>
        </w:tc>
      </w:tr>
    </w:tbl>
    <w:p w14:paraId="0FF0D581" w14:textId="29150798" w:rsidR="00955692" w:rsidRPr="00E0092A" w:rsidRDefault="00955692">
      <w:pPr>
        <w:tabs>
          <w:tab w:val="left" w:pos="-720"/>
        </w:tabs>
        <w:suppressAutoHyphens/>
        <w:jc w:val="both"/>
        <w:rPr>
          <w:rFonts w:ascii="Times New Roman" w:hAnsi="Times New Roman"/>
          <w:spacing w:val="-3"/>
          <w:lang w:val="fr-FR"/>
        </w:rPr>
      </w:pPr>
    </w:p>
    <w:sectPr w:rsidR="00955692" w:rsidRPr="00E0092A" w:rsidSect="00A13673">
      <w:endnotePr>
        <w:numFmt w:val="decimal"/>
      </w:endnotePr>
      <w:pgSz w:w="12240" w:h="15840"/>
      <w:pgMar w:top="36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2D7D" w14:textId="77777777" w:rsidR="00AF5540" w:rsidRDefault="00AF5540">
      <w:pPr>
        <w:spacing w:line="20" w:lineRule="exact"/>
      </w:pPr>
    </w:p>
  </w:endnote>
  <w:endnote w:type="continuationSeparator" w:id="0">
    <w:p w14:paraId="0412997E" w14:textId="77777777" w:rsidR="00AF5540" w:rsidRDefault="00AF5540">
      <w:r>
        <w:rPr>
          <w:lang w:val="fr"/>
        </w:rPr>
        <w:t xml:space="preserve"> </w:t>
      </w:r>
    </w:p>
  </w:endnote>
  <w:endnote w:type="continuationNotice" w:id="1">
    <w:p w14:paraId="3CFA0B5E" w14:textId="77777777" w:rsidR="00AF5540" w:rsidRDefault="00AF5540">
      <w:r>
        <w:rPr>
          <w:lang w:val="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8729" w14:textId="77777777" w:rsidR="00AF5540" w:rsidRDefault="00AF5540">
      <w:r>
        <w:rPr>
          <w:lang w:val="fr"/>
        </w:rPr>
        <w:separator/>
      </w:r>
    </w:p>
  </w:footnote>
  <w:footnote w:type="continuationSeparator" w:id="0">
    <w:p w14:paraId="4ACD8231" w14:textId="77777777" w:rsidR="00AF5540" w:rsidRDefault="00AF5540">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4FEE"/>
    <w:multiLevelType w:val="hybridMultilevel"/>
    <w:tmpl w:val="2E0E2A88"/>
    <w:lvl w:ilvl="0" w:tplc="98C428D6">
      <w:start w:val="1"/>
      <w:numFmt w:val="lowerRoman"/>
      <w:lvlText w:val="(%1)"/>
      <w:lvlJc w:val="righ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24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Dc0NTWysDA3sDRU0lEKTi0uzszPAykwrQUAchfo3iwAAAA="/>
  </w:docVars>
  <w:rsids>
    <w:rsidRoot w:val="00B90350"/>
    <w:rsid w:val="000748E7"/>
    <w:rsid w:val="00096181"/>
    <w:rsid w:val="000C239C"/>
    <w:rsid w:val="001318BF"/>
    <w:rsid w:val="001505AF"/>
    <w:rsid w:val="001C1193"/>
    <w:rsid w:val="0021283D"/>
    <w:rsid w:val="002F118A"/>
    <w:rsid w:val="00303E60"/>
    <w:rsid w:val="003358ED"/>
    <w:rsid w:val="0039298B"/>
    <w:rsid w:val="003F7FBE"/>
    <w:rsid w:val="00447FAF"/>
    <w:rsid w:val="004E6E9F"/>
    <w:rsid w:val="005765F8"/>
    <w:rsid w:val="005801FC"/>
    <w:rsid w:val="00595315"/>
    <w:rsid w:val="006D5254"/>
    <w:rsid w:val="00750478"/>
    <w:rsid w:val="007E2157"/>
    <w:rsid w:val="008173FF"/>
    <w:rsid w:val="00833D68"/>
    <w:rsid w:val="00844DA6"/>
    <w:rsid w:val="00873653"/>
    <w:rsid w:val="00874913"/>
    <w:rsid w:val="008D1CC4"/>
    <w:rsid w:val="008F5C58"/>
    <w:rsid w:val="009306F4"/>
    <w:rsid w:val="00955692"/>
    <w:rsid w:val="00A13673"/>
    <w:rsid w:val="00A7336B"/>
    <w:rsid w:val="00AF5540"/>
    <w:rsid w:val="00B90350"/>
    <w:rsid w:val="00BE5509"/>
    <w:rsid w:val="00C2057B"/>
    <w:rsid w:val="00C33333"/>
    <w:rsid w:val="00C6704D"/>
    <w:rsid w:val="00CE09E0"/>
    <w:rsid w:val="00DD03F3"/>
    <w:rsid w:val="00E0092A"/>
    <w:rsid w:val="00EA4507"/>
    <w:rsid w:val="00EE4013"/>
    <w:rsid w:val="00F50E72"/>
    <w:rsid w:val="00F5457B"/>
    <w:rsid w:val="00F5489D"/>
    <w:rsid w:val="00FD1754"/>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0C4C0"/>
  <w15:chartTrackingRefBased/>
  <w15:docId w15:val="{1ED0D59D-7F8C-4F01-AFFC-F113CDC3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B90350"/>
    <w:rPr>
      <w:rFonts w:ascii="Segoe UI" w:hAnsi="Segoe UI" w:cs="Segoe UI"/>
      <w:sz w:val="18"/>
      <w:szCs w:val="18"/>
    </w:rPr>
  </w:style>
  <w:style w:type="character" w:customStyle="1" w:styleId="BalloonTextChar">
    <w:name w:val="Balloon Text Char"/>
    <w:link w:val="BalloonText"/>
    <w:uiPriority w:val="99"/>
    <w:semiHidden/>
    <w:rsid w:val="00B90350"/>
    <w:rPr>
      <w:rFonts w:ascii="Segoe UI" w:hAnsi="Segoe UI" w:cs="Segoe UI"/>
      <w:sz w:val="18"/>
      <w:szCs w:val="18"/>
      <w:lang w:val="en-GB"/>
    </w:rPr>
  </w:style>
  <w:style w:type="paragraph" w:styleId="ListParagraph">
    <w:name w:val="List Paragraph"/>
    <w:aliases w:val="List Paragraph (numbered (a)),Bullets,Numbered List Paragraph,Paragraphe  revu,Figures,List Paragraph1,References,Ha,Liste 1,heading 6,LIST OF TABLES.,Heading 61,List Bullet-OpsManual,Title Style 1,List Paragraph nowy,ANNEX"/>
    <w:basedOn w:val="Normal"/>
    <w:link w:val="ListParagraphChar"/>
    <w:uiPriority w:val="34"/>
    <w:qFormat/>
    <w:rsid w:val="00DD03F3"/>
    <w:pPr>
      <w:widowControl/>
      <w:spacing w:after="160"/>
      <w:ind w:left="720"/>
    </w:pPr>
    <w:rPr>
      <w:rFonts w:ascii="Times New Roman" w:eastAsia="Calibri" w:hAnsi="Times New Roman"/>
      <w:szCs w:val="22"/>
      <w:lang w:val="en-US"/>
    </w:rPr>
  </w:style>
  <w:style w:type="character" w:customStyle="1" w:styleId="ListParagraphChar">
    <w:name w:val="List Paragraph Char"/>
    <w:aliases w:val="List Paragraph (numbered (a)) Char,Bullets Char,Numbered List Paragraph Char,Paragraphe  revu Char,Figures Char,List Paragraph1 Char,References Char,Ha Char,Liste 1 Char,heading 6 Char,LIST OF TABLES. Char,Heading 61 Char,ANNEX Char"/>
    <w:link w:val="ListParagraph"/>
    <w:uiPriority w:val="34"/>
    <w:qFormat/>
    <w:locked/>
    <w:rsid w:val="00DD03F3"/>
    <w:rPr>
      <w:rFonts w:eastAsia="Calibri"/>
      <w:sz w:val="24"/>
      <w:szCs w:val="22"/>
      <w:lang w:val="en-US" w:eastAsia="en-US"/>
    </w:rPr>
  </w:style>
  <w:style w:type="paragraph" w:styleId="NoSpacing">
    <w:name w:val="No Spacing"/>
    <w:aliases w:val="H2"/>
    <w:link w:val="NoSpacingChar"/>
    <w:uiPriority w:val="1"/>
    <w:qFormat/>
    <w:rsid w:val="006D5254"/>
    <w:rPr>
      <w:rFonts w:ascii="Calibri" w:eastAsia="Calibri" w:hAnsi="Calibri"/>
      <w:sz w:val="22"/>
      <w:szCs w:val="22"/>
      <w:lang w:val="fr-FR" w:eastAsia="en-US"/>
    </w:rPr>
  </w:style>
  <w:style w:type="character" w:customStyle="1" w:styleId="NoSpacingChar">
    <w:name w:val="No Spacing Char"/>
    <w:aliases w:val="H2 Char"/>
    <w:link w:val="NoSpacing"/>
    <w:uiPriority w:val="1"/>
    <w:locked/>
    <w:rsid w:val="006D5254"/>
    <w:rPr>
      <w:rFonts w:ascii="Calibri" w:eastAsia="Calibri" w:hAnsi="Calibri"/>
      <w:sz w:val="22"/>
      <w:szCs w:val="22"/>
      <w:lang w:eastAsia="en-US"/>
    </w:rPr>
  </w:style>
  <w:style w:type="character" w:styleId="Hyperlink">
    <w:name w:val="Hyperlink"/>
    <w:uiPriority w:val="99"/>
    <w:unhideWhenUsed/>
    <w:rsid w:val="00EA4507"/>
    <w:rPr>
      <w:color w:val="0000FF"/>
      <w:u w:val="single"/>
    </w:rPr>
  </w:style>
  <w:style w:type="character" w:styleId="UnresolvedMention">
    <w:name w:val="Unresolved Mention"/>
    <w:uiPriority w:val="99"/>
    <w:semiHidden/>
    <w:unhideWhenUsed/>
    <w:rsid w:val="00EA4507"/>
    <w:rPr>
      <w:color w:val="605E5C"/>
      <w:shd w:val="clear" w:color="auto" w:fill="E1DFDD"/>
    </w:rPr>
  </w:style>
  <w:style w:type="character" w:styleId="PlaceholderText">
    <w:name w:val="Placeholder Text"/>
    <w:basedOn w:val="DefaultParagraphFont"/>
    <w:uiPriority w:val="99"/>
    <w:semiHidden/>
    <w:rsid w:val="00CE09E0"/>
    <w:rPr>
      <w:color w:val="808080"/>
    </w:rPr>
  </w:style>
  <w:style w:type="paragraph" w:styleId="Revision">
    <w:name w:val="Revision"/>
    <w:hidden/>
    <w:uiPriority w:val="99"/>
    <w:semiHidden/>
    <w:rsid w:val="005765F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rera.arrec.org" TargetMode="External"/><Relationship Id="rId3" Type="http://schemas.openxmlformats.org/officeDocument/2006/relationships/settings" Target="settings.xml"/><Relationship Id="rId7" Type="http://schemas.openxmlformats.org/officeDocument/2006/relationships/hyperlink" Target="https://www.erera.arr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8133</CharactersWithSpaces>
  <SharedDoc>false</SharedDoc>
  <HLinks>
    <vt:vector size="12" baseType="variant">
      <vt:variant>
        <vt:i4>2293835</vt:i4>
      </vt:variant>
      <vt:variant>
        <vt:i4>3</vt:i4>
      </vt:variant>
      <vt:variant>
        <vt:i4>0</vt:i4>
      </vt:variant>
      <vt:variant>
        <vt:i4>5</vt:i4>
      </vt:variant>
      <vt:variant>
        <vt:lpwstr>mailto:info@errera.arrec.org</vt:lpwstr>
      </vt:variant>
      <vt:variant>
        <vt:lpwstr/>
      </vt:variant>
      <vt:variant>
        <vt:i4>131161</vt:i4>
      </vt:variant>
      <vt:variant>
        <vt:i4>0</vt:i4>
      </vt:variant>
      <vt:variant>
        <vt:i4>0</vt:i4>
      </vt:variant>
      <vt:variant>
        <vt:i4>5</vt:i4>
      </vt:variant>
      <vt:variant>
        <vt:lpwstr>https://www.erera.arrec.org/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MENSAH-QUAINOO J.</dc:creator>
  <cp:keywords/>
  <dc:description/>
  <cp:lastModifiedBy>uwem thompson</cp:lastModifiedBy>
  <cp:revision>2</cp:revision>
  <cp:lastPrinted>2004-07-06T09:23:00Z</cp:lastPrinted>
  <dcterms:created xsi:type="dcterms:W3CDTF">2023-06-08T13:14:00Z</dcterms:created>
  <dcterms:modified xsi:type="dcterms:W3CDTF">2023-06-08T13:14:00Z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ff5f4469be323d61ea2d36f129734bc78929fe4206d56801b9b608013b00baf8</vt:lpwstr>
  </property>
</Properties>
</file>