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CD15" w14:textId="77777777" w:rsidR="00955692" w:rsidRDefault="00955692">
      <w:pPr>
        <w:tabs>
          <w:tab w:val="right" w:pos="9360"/>
        </w:tabs>
        <w:suppressAutoHyphens/>
        <w:jc w:val="both"/>
        <w:rPr>
          <w:b/>
          <w:spacing w:val="-3"/>
          <w:lang w:val="en-US"/>
        </w:rPr>
      </w:pPr>
      <w:r>
        <w:rPr>
          <w:b/>
          <w:spacing w:val="-3"/>
          <w:lang w:val="en-US"/>
        </w:rPr>
        <w:tab/>
      </w:r>
    </w:p>
    <w:p w14:paraId="189C77CC" w14:textId="77777777" w:rsidR="00955692" w:rsidRDefault="00955692" w:rsidP="00A13673">
      <w:pPr>
        <w:tabs>
          <w:tab w:val="center" w:pos="4680"/>
        </w:tabs>
        <w:suppressAutoHyphens/>
        <w:jc w:val="center"/>
        <w:rPr>
          <w:spacing w:val="-3"/>
          <w:lang w:val="en-US"/>
        </w:rPr>
      </w:pPr>
      <w:r>
        <w:rPr>
          <w:b/>
          <w:spacing w:val="-3"/>
          <w:lang w:val="en-US"/>
        </w:rPr>
        <w:t>GENERAL PROCUREMENT NOTICE</w:t>
      </w:r>
    </w:p>
    <w:p w14:paraId="45AC866E" w14:textId="77777777" w:rsidR="00955692" w:rsidRDefault="00955692">
      <w:pPr>
        <w:tabs>
          <w:tab w:val="left" w:pos="-720"/>
        </w:tabs>
        <w:suppressAutoHyphens/>
        <w:jc w:val="both"/>
        <w:rPr>
          <w:spacing w:val="-3"/>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3043"/>
        <w:gridCol w:w="6317"/>
      </w:tblGrid>
      <w:tr w:rsidR="00955692" w14:paraId="5C92841E" w14:textId="77777777">
        <w:tc>
          <w:tcPr>
            <w:tcW w:w="9360" w:type="dxa"/>
            <w:gridSpan w:val="2"/>
            <w:tcBorders>
              <w:top w:val="double" w:sz="6" w:space="0" w:color="auto"/>
              <w:left w:val="double" w:sz="6" w:space="0" w:color="auto"/>
              <w:bottom w:val="double" w:sz="6" w:space="0" w:color="auto"/>
              <w:right w:val="double" w:sz="6" w:space="0" w:color="auto"/>
            </w:tcBorders>
          </w:tcPr>
          <w:p w14:paraId="06AE0215" w14:textId="77777777" w:rsidR="00955692" w:rsidRDefault="00955692">
            <w:pPr>
              <w:tabs>
                <w:tab w:val="center" w:pos="4560"/>
              </w:tabs>
              <w:suppressAutoHyphens/>
              <w:spacing w:before="90" w:after="54"/>
              <w:rPr>
                <w:rFonts w:ascii="Times New Roman" w:hAnsi="Times New Roman"/>
                <w:color w:val="000000"/>
                <w:spacing w:val="-3"/>
                <w:lang w:val="en-US"/>
              </w:rPr>
            </w:pPr>
            <w:r>
              <w:rPr>
                <w:rFonts w:ascii="Times New Roman" w:hAnsi="Times New Roman"/>
                <w:color w:val="000000"/>
                <w:spacing w:val="-3"/>
                <w:lang w:val="en-US"/>
              </w:rPr>
              <w:tab/>
            </w:r>
            <w:r w:rsidR="003F7FBE">
              <w:rPr>
                <w:rFonts w:ascii="Times New Roman" w:hAnsi="Times New Roman"/>
                <w:b/>
                <w:bCs/>
                <w:color w:val="000000"/>
                <w:spacing w:val="-3"/>
              </w:rPr>
              <w:t>ECOWAS REGIONAL ELECTRICITY REGULATION AUTHORITY (ERERA)</w:t>
            </w:r>
          </w:p>
        </w:tc>
      </w:tr>
      <w:tr w:rsidR="00955692" w14:paraId="5CA741F0" w14:textId="77777777">
        <w:tc>
          <w:tcPr>
            <w:tcW w:w="9360" w:type="dxa"/>
            <w:gridSpan w:val="2"/>
            <w:tcBorders>
              <w:top w:val="double" w:sz="6" w:space="0" w:color="auto"/>
              <w:left w:val="double" w:sz="6" w:space="0" w:color="auto"/>
              <w:bottom w:val="double" w:sz="6" w:space="0" w:color="auto"/>
              <w:right w:val="double" w:sz="6" w:space="0" w:color="auto"/>
            </w:tcBorders>
          </w:tcPr>
          <w:p w14:paraId="7BE35E58" w14:textId="77777777" w:rsidR="00955692" w:rsidRPr="003F7FBE" w:rsidRDefault="00955692" w:rsidP="003F7FBE">
            <w:pPr>
              <w:spacing w:line="276" w:lineRule="auto"/>
              <w:jc w:val="center"/>
              <w:rPr>
                <w:b/>
                <w:lang w:eastAsia="fr-FR"/>
              </w:rPr>
            </w:pPr>
            <w:r>
              <w:rPr>
                <w:spacing w:val="-3"/>
                <w:lang w:val="en-US"/>
              </w:rPr>
              <w:tab/>
            </w:r>
            <w:bookmarkStart w:id="0" w:name="_Hlk102659351"/>
            <w:r w:rsidR="003F7FBE" w:rsidRPr="001365EC">
              <w:rPr>
                <w:b/>
                <w:lang w:eastAsia="fr-FR"/>
              </w:rPr>
              <w:t>REGIONAL HARMONIZATION OF REGULATORY FRAMEWORKS AND TOOLS FOR IMPROVED ELECTRICITY REGULATION IN ECOWAS</w:t>
            </w:r>
            <w:bookmarkEnd w:id="0"/>
            <w:r w:rsidR="00F5489D">
              <w:rPr>
                <w:b/>
                <w:lang w:eastAsia="fr-FR"/>
              </w:rPr>
              <w:t xml:space="preserve"> PROJECT</w:t>
            </w:r>
          </w:p>
        </w:tc>
      </w:tr>
      <w:tr w:rsidR="00955692" w14:paraId="7868E2CF" w14:textId="77777777">
        <w:tblPrEx>
          <w:jc w:val="center"/>
          <w:tblInd w:w="0" w:type="dxa"/>
        </w:tblPrEx>
        <w:trPr>
          <w:gridAfter w:val="1"/>
          <w:wAfter w:w="6317" w:type="dxa"/>
          <w:jc w:val="center"/>
        </w:trPr>
        <w:tc>
          <w:tcPr>
            <w:tcW w:w="3043" w:type="dxa"/>
            <w:tcBorders>
              <w:top w:val="double" w:sz="6" w:space="0" w:color="auto"/>
              <w:left w:val="double" w:sz="6" w:space="0" w:color="auto"/>
              <w:bottom w:val="double" w:sz="6" w:space="0" w:color="auto"/>
              <w:right w:val="double" w:sz="6" w:space="0" w:color="auto"/>
            </w:tcBorders>
          </w:tcPr>
          <w:p w14:paraId="17998AA7" w14:textId="77777777" w:rsidR="00955692" w:rsidRDefault="00955692">
            <w:pPr>
              <w:tabs>
                <w:tab w:val="center" w:pos="1402"/>
              </w:tabs>
              <w:suppressAutoHyphens/>
              <w:spacing w:before="90" w:after="54"/>
              <w:rPr>
                <w:spacing w:val="-3"/>
                <w:lang w:val="en-US"/>
              </w:rPr>
            </w:pPr>
          </w:p>
        </w:tc>
      </w:tr>
      <w:tr w:rsidR="00955692" w14:paraId="787CE183" w14:textId="77777777">
        <w:tc>
          <w:tcPr>
            <w:tcW w:w="9360" w:type="dxa"/>
            <w:gridSpan w:val="2"/>
            <w:tcBorders>
              <w:top w:val="double" w:sz="6" w:space="0" w:color="auto"/>
              <w:left w:val="double" w:sz="6" w:space="0" w:color="auto"/>
              <w:bottom w:val="double" w:sz="6" w:space="0" w:color="auto"/>
              <w:right w:val="double" w:sz="6" w:space="0" w:color="auto"/>
            </w:tcBorders>
          </w:tcPr>
          <w:p w14:paraId="6AD21D9A" w14:textId="77777777" w:rsidR="00955692" w:rsidRPr="00A13673" w:rsidRDefault="00955692" w:rsidP="00A13673">
            <w:pPr>
              <w:tabs>
                <w:tab w:val="left" w:pos="-720"/>
              </w:tabs>
              <w:suppressAutoHyphens/>
              <w:spacing w:before="90"/>
              <w:jc w:val="both"/>
              <w:rPr>
                <w:rFonts w:ascii="Times New Roman" w:hAnsi="Times New Roman"/>
                <w:spacing w:val="-3"/>
                <w:sz w:val="22"/>
                <w:szCs w:val="22"/>
                <w:lang w:val="en-US"/>
              </w:rPr>
            </w:pPr>
          </w:p>
          <w:p w14:paraId="19C68745" w14:textId="77777777" w:rsidR="00955692" w:rsidRPr="008F300F" w:rsidRDefault="00955692" w:rsidP="00A13673">
            <w:pPr>
              <w:tabs>
                <w:tab w:val="center" w:pos="4560"/>
              </w:tabs>
              <w:suppressAutoHyphens/>
              <w:jc w:val="both"/>
              <w:rPr>
                <w:rFonts w:ascii="Times New Roman" w:hAnsi="Times New Roman"/>
                <w:spacing w:val="-3"/>
                <w:sz w:val="22"/>
                <w:szCs w:val="22"/>
                <w:lang w:val="en-US"/>
              </w:rPr>
            </w:pPr>
            <w:r w:rsidRPr="00A13673">
              <w:rPr>
                <w:rFonts w:ascii="Times New Roman" w:hAnsi="Times New Roman"/>
                <w:b/>
                <w:spacing w:val="-3"/>
                <w:sz w:val="22"/>
                <w:szCs w:val="22"/>
                <w:lang w:val="en-US"/>
              </w:rPr>
              <w:tab/>
            </w:r>
            <w:r w:rsidRPr="008F300F">
              <w:rPr>
                <w:rFonts w:ascii="Times New Roman" w:hAnsi="Times New Roman"/>
                <w:b/>
                <w:spacing w:val="-3"/>
                <w:sz w:val="22"/>
                <w:szCs w:val="22"/>
                <w:lang w:val="en-US"/>
              </w:rPr>
              <w:t>GENERAL PROCUREMENT NOTICE</w:t>
            </w:r>
          </w:p>
          <w:p w14:paraId="70403250" w14:textId="77777777" w:rsidR="00955692" w:rsidRPr="008F300F" w:rsidRDefault="00955692" w:rsidP="00A13673">
            <w:pPr>
              <w:tabs>
                <w:tab w:val="left" w:pos="-720"/>
              </w:tabs>
              <w:suppressAutoHyphens/>
              <w:jc w:val="both"/>
              <w:rPr>
                <w:rFonts w:ascii="Times New Roman" w:hAnsi="Times New Roman"/>
                <w:spacing w:val="-3"/>
                <w:sz w:val="22"/>
                <w:szCs w:val="22"/>
                <w:lang w:val="en-US"/>
              </w:rPr>
            </w:pPr>
          </w:p>
          <w:p w14:paraId="69D71581" w14:textId="77777777" w:rsidR="00955692" w:rsidRPr="008F300F" w:rsidRDefault="00955692" w:rsidP="00A13673">
            <w:pPr>
              <w:tabs>
                <w:tab w:val="left" w:pos="-720"/>
              </w:tabs>
              <w:suppressAutoHyphens/>
              <w:jc w:val="both"/>
              <w:rPr>
                <w:rFonts w:ascii="Times New Roman" w:hAnsi="Times New Roman"/>
                <w:spacing w:val="-3"/>
                <w:sz w:val="22"/>
                <w:szCs w:val="22"/>
                <w:lang w:val="en-US"/>
              </w:rPr>
            </w:pPr>
            <w:r w:rsidRPr="008F300F">
              <w:rPr>
                <w:rFonts w:ascii="Times New Roman" w:hAnsi="Times New Roman"/>
                <w:spacing w:val="-3"/>
                <w:sz w:val="22"/>
                <w:szCs w:val="22"/>
                <w:lang w:val="en-US"/>
              </w:rPr>
              <w:t xml:space="preserve">1. The </w:t>
            </w:r>
            <w:r w:rsidR="003F7FBE" w:rsidRPr="008F300F">
              <w:rPr>
                <w:rFonts w:ascii="Times New Roman" w:hAnsi="Times New Roman"/>
                <w:color w:val="000000"/>
                <w:spacing w:val="-3"/>
                <w:sz w:val="22"/>
                <w:szCs w:val="22"/>
              </w:rPr>
              <w:t>ECOWAS Regional Electricity Regulation Authority (ERERA</w:t>
            </w:r>
            <w:r w:rsidRPr="008F300F">
              <w:rPr>
                <w:rFonts w:ascii="Times New Roman" w:hAnsi="Times New Roman"/>
                <w:spacing w:val="-3"/>
                <w:sz w:val="22"/>
                <w:szCs w:val="22"/>
                <w:lang w:val="en-US"/>
              </w:rPr>
              <w:t xml:space="preserve">) has received a </w:t>
            </w:r>
            <w:r w:rsidR="00BE5509" w:rsidRPr="008F300F">
              <w:rPr>
                <w:rFonts w:ascii="Times New Roman" w:hAnsi="Times New Roman"/>
                <w:spacing w:val="-3"/>
                <w:sz w:val="22"/>
                <w:szCs w:val="22"/>
                <w:lang w:val="en-US"/>
              </w:rPr>
              <w:t>grant</w:t>
            </w:r>
            <w:r w:rsidRPr="008F300F">
              <w:rPr>
                <w:rFonts w:ascii="Times New Roman" w:hAnsi="Times New Roman"/>
                <w:spacing w:val="-3"/>
                <w:sz w:val="22"/>
                <w:szCs w:val="22"/>
                <w:lang w:val="en-US"/>
              </w:rPr>
              <w:t xml:space="preserve"> from the African Development Bank to finance </w:t>
            </w:r>
            <w:r w:rsidR="00BE5509" w:rsidRPr="008F300F">
              <w:rPr>
                <w:rFonts w:ascii="Times New Roman" w:hAnsi="Times New Roman"/>
                <w:spacing w:val="-3"/>
                <w:sz w:val="22"/>
                <w:szCs w:val="22"/>
                <w:lang w:val="en-US"/>
              </w:rPr>
              <w:t xml:space="preserve">its Project related to </w:t>
            </w:r>
            <w:r w:rsidRPr="008F300F">
              <w:rPr>
                <w:rFonts w:ascii="Times New Roman" w:hAnsi="Times New Roman"/>
                <w:spacing w:val="-3"/>
                <w:sz w:val="22"/>
                <w:szCs w:val="22"/>
                <w:lang w:val="en-US"/>
              </w:rPr>
              <w:t xml:space="preserve">the </w:t>
            </w:r>
            <w:r w:rsidR="00BE5509" w:rsidRPr="008F300F">
              <w:rPr>
                <w:rFonts w:ascii="Times New Roman" w:hAnsi="Times New Roman"/>
                <w:spacing w:val="-3"/>
                <w:sz w:val="22"/>
                <w:szCs w:val="22"/>
                <w:lang w:val="en-US"/>
              </w:rPr>
              <w:t>“</w:t>
            </w:r>
            <w:r w:rsidR="0021283D" w:rsidRPr="008F300F">
              <w:rPr>
                <w:rFonts w:ascii="Times New Roman" w:hAnsi="Times New Roman"/>
                <w:bCs/>
                <w:sz w:val="22"/>
                <w:szCs w:val="22"/>
                <w:lang w:eastAsia="fr-FR"/>
              </w:rPr>
              <w:t>Regional Harmonization of Regulatory Frameworks and Tools for Improved Electricity Regulation in ECOWAS</w:t>
            </w:r>
            <w:r w:rsidR="00BE5509" w:rsidRPr="008F300F">
              <w:rPr>
                <w:rFonts w:ascii="Times New Roman" w:hAnsi="Times New Roman"/>
                <w:bCs/>
                <w:sz w:val="22"/>
                <w:szCs w:val="22"/>
                <w:lang w:eastAsia="fr-FR"/>
              </w:rPr>
              <w:t>”</w:t>
            </w:r>
            <w:r w:rsidRPr="008F300F">
              <w:rPr>
                <w:rFonts w:ascii="Times New Roman" w:hAnsi="Times New Roman"/>
                <w:spacing w:val="-3"/>
                <w:sz w:val="22"/>
                <w:szCs w:val="22"/>
                <w:lang w:val="en-US"/>
              </w:rPr>
              <w:t>.</w:t>
            </w:r>
          </w:p>
          <w:p w14:paraId="7B60EC2C" w14:textId="77777777" w:rsidR="00955692" w:rsidRPr="008F300F" w:rsidRDefault="00955692" w:rsidP="00A13673">
            <w:pPr>
              <w:tabs>
                <w:tab w:val="left" w:pos="-720"/>
              </w:tabs>
              <w:suppressAutoHyphens/>
              <w:jc w:val="both"/>
              <w:rPr>
                <w:rFonts w:ascii="Times New Roman" w:hAnsi="Times New Roman"/>
                <w:spacing w:val="-3"/>
                <w:sz w:val="22"/>
                <w:szCs w:val="22"/>
                <w:lang w:val="en-US"/>
              </w:rPr>
            </w:pPr>
          </w:p>
          <w:p w14:paraId="50514CEB" w14:textId="77777777" w:rsidR="00955692" w:rsidRPr="008F300F" w:rsidRDefault="00955692" w:rsidP="00A13673">
            <w:pPr>
              <w:tabs>
                <w:tab w:val="left" w:pos="-720"/>
              </w:tabs>
              <w:suppressAutoHyphens/>
              <w:jc w:val="both"/>
              <w:rPr>
                <w:rFonts w:ascii="Times New Roman" w:hAnsi="Times New Roman"/>
                <w:sz w:val="22"/>
                <w:szCs w:val="22"/>
              </w:rPr>
            </w:pPr>
            <w:r w:rsidRPr="008F300F">
              <w:rPr>
                <w:rFonts w:ascii="Times New Roman" w:hAnsi="Times New Roman"/>
                <w:spacing w:val="-3"/>
                <w:sz w:val="22"/>
                <w:szCs w:val="22"/>
                <w:lang w:val="en-US"/>
              </w:rPr>
              <w:t xml:space="preserve">2. The principal objective of this project </w:t>
            </w:r>
            <w:r w:rsidR="000C239C" w:rsidRPr="008F300F">
              <w:rPr>
                <w:rFonts w:ascii="Times New Roman" w:hAnsi="Times New Roman"/>
                <w:spacing w:val="-3"/>
                <w:sz w:val="22"/>
                <w:szCs w:val="22"/>
                <w:lang w:val="en-US"/>
              </w:rPr>
              <w:t>is t</w:t>
            </w:r>
            <w:r w:rsidR="000C239C" w:rsidRPr="008F300F">
              <w:rPr>
                <w:rFonts w:ascii="Times New Roman" w:hAnsi="Times New Roman"/>
                <w:sz w:val="22"/>
                <w:szCs w:val="22"/>
                <w:lang w:val="en-US"/>
              </w:rPr>
              <w:t>o p</w:t>
            </w:r>
            <w:r w:rsidR="00DD03F3" w:rsidRPr="008F300F">
              <w:rPr>
                <w:rFonts w:ascii="Times New Roman" w:hAnsi="Times New Roman"/>
                <w:sz w:val="22"/>
                <w:szCs w:val="22"/>
              </w:rPr>
              <w:t xml:space="preserve">rovide the fifteen (15) ECOWAS member countries with tools (through a combination of studies and capacity building) for harmonizing regulatory frameworks of ECOWAS member </w:t>
            </w:r>
            <w:r w:rsidR="00C33333" w:rsidRPr="008F300F">
              <w:rPr>
                <w:rFonts w:ascii="Times New Roman" w:hAnsi="Times New Roman"/>
                <w:sz w:val="22"/>
                <w:szCs w:val="22"/>
              </w:rPr>
              <w:t>countries to</w:t>
            </w:r>
            <w:r w:rsidR="00DD03F3" w:rsidRPr="008F300F">
              <w:rPr>
                <w:rFonts w:ascii="Times New Roman" w:hAnsi="Times New Roman"/>
                <w:sz w:val="22"/>
                <w:szCs w:val="22"/>
              </w:rPr>
              <w:t xml:space="preserve"> enhance regional and sustainable electricity trade.</w:t>
            </w:r>
          </w:p>
          <w:p w14:paraId="5A00B3CD" w14:textId="77777777" w:rsidR="00DD03F3" w:rsidRPr="008F300F" w:rsidRDefault="00DD03F3" w:rsidP="00A13673">
            <w:pPr>
              <w:tabs>
                <w:tab w:val="left" w:pos="-720"/>
              </w:tabs>
              <w:suppressAutoHyphens/>
              <w:jc w:val="both"/>
              <w:rPr>
                <w:rFonts w:ascii="Times New Roman" w:hAnsi="Times New Roman"/>
                <w:spacing w:val="-3"/>
                <w:sz w:val="22"/>
                <w:szCs w:val="22"/>
                <w:lang w:val="en-US"/>
              </w:rPr>
            </w:pPr>
          </w:p>
          <w:p w14:paraId="67FEB6E8" w14:textId="77777777" w:rsidR="00955692" w:rsidRPr="008F300F" w:rsidRDefault="00955692" w:rsidP="00A13673">
            <w:pPr>
              <w:tabs>
                <w:tab w:val="left" w:pos="-720"/>
              </w:tabs>
              <w:suppressAutoHyphens/>
              <w:jc w:val="both"/>
              <w:rPr>
                <w:rFonts w:ascii="Times New Roman" w:hAnsi="Times New Roman"/>
                <w:spacing w:val="-3"/>
                <w:sz w:val="22"/>
                <w:szCs w:val="22"/>
                <w:lang w:val="en-US"/>
              </w:rPr>
            </w:pPr>
            <w:r w:rsidRPr="008F300F">
              <w:rPr>
                <w:rFonts w:ascii="Times New Roman" w:hAnsi="Times New Roman"/>
                <w:spacing w:val="-3"/>
                <w:sz w:val="22"/>
                <w:szCs w:val="22"/>
                <w:lang w:val="en-US"/>
              </w:rPr>
              <w:t xml:space="preserve">3. The project includes the following </w:t>
            </w:r>
            <w:r w:rsidR="00C33333" w:rsidRPr="008F300F">
              <w:rPr>
                <w:rFonts w:ascii="Times New Roman" w:hAnsi="Times New Roman"/>
                <w:spacing w:val="-3"/>
                <w:sz w:val="22"/>
                <w:szCs w:val="22"/>
                <w:lang w:val="en-US"/>
              </w:rPr>
              <w:t>components:</w:t>
            </w:r>
          </w:p>
          <w:p w14:paraId="31BBD0A7" w14:textId="77777777" w:rsidR="00955692" w:rsidRPr="008F300F" w:rsidRDefault="00955692" w:rsidP="00A13673">
            <w:pPr>
              <w:tabs>
                <w:tab w:val="left" w:pos="-720"/>
              </w:tabs>
              <w:suppressAutoHyphens/>
              <w:jc w:val="both"/>
              <w:rPr>
                <w:rFonts w:ascii="Times New Roman" w:hAnsi="Times New Roman"/>
                <w:spacing w:val="-3"/>
                <w:sz w:val="22"/>
                <w:szCs w:val="22"/>
                <w:lang w:val="en-US"/>
              </w:rPr>
            </w:pPr>
          </w:p>
          <w:p w14:paraId="0D405F80" w14:textId="77777777" w:rsidR="00DD03F3" w:rsidRPr="008F300F" w:rsidRDefault="00DD03F3" w:rsidP="00A13673">
            <w:pPr>
              <w:pStyle w:val="ListParagraph"/>
              <w:numPr>
                <w:ilvl w:val="0"/>
                <w:numId w:val="1"/>
              </w:numPr>
              <w:autoSpaceDE w:val="0"/>
              <w:autoSpaceDN w:val="0"/>
              <w:adjustRightInd w:val="0"/>
              <w:spacing w:before="120" w:after="120" w:line="276" w:lineRule="auto"/>
              <w:jc w:val="both"/>
              <w:rPr>
                <w:sz w:val="22"/>
              </w:rPr>
            </w:pPr>
            <w:r w:rsidRPr="008F300F">
              <w:rPr>
                <w:b/>
                <w:iCs/>
                <w:sz w:val="22"/>
                <w:lang w:val="en-GB"/>
              </w:rPr>
              <w:t xml:space="preserve">Component 1: Elaboration of Regulatory and Utility Key </w:t>
            </w:r>
            <w:r w:rsidR="008F300F">
              <w:rPr>
                <w:b/>
                <w:iCs/>
                <w:sz w:val="22"/>
                <w:lang w:val="en-GB"/>
              </w:rPr>
              <w:t>Performance</w:t>
            </w:r>
            <w:r w:rsidRPr="008F300F">
              <w:rPr>
                <w:b/>
                <w:iCs/>
                <w:sz w:val="22"/>
                <w:lang w:val="en-GB"/>
              </w:rPr>
              <w:t xml:space="preserve"> Indicators (KPIs) for ECOWAS</w:t>
            </w:r>
          </w:p>
          <w:p w14:paraId="799C7A41" w14:textId="77777777" w:rsidR="006D5254" w:rsidRPr="008F300F" w:rsidRDefault="006D5254" w:rsidP="00A13673">
            <w:pPr>
              <w:pStyle w:val="NoSpacing"/>
              <w:spacing w:line="276" w:lineRule="auto"/>
              <w:ind w:left="720"/>
              <w:jc w:val="both"/>
              <w:rPr>
                <w:rFonts w:ascii="Times New Roman" w:hAnsi="Times New Roman"/>
                <w:lang w:val="en-US"/>
              </w:rPr>
            </w:pPr>
            <w:r w:rsidRPr="008F300F">
              <w:rPr>
                <w:rFonts w:ascii="Times New Roman" w:hAnsi="Times New Roman"/>
                <w:lang w:val="en-US"/>
              </w:rPr>
              <w:t xml:space="preserve">An aspect of this component involves a consultative approach to elaborate, </w:t>
            </w:r>
            <w:proofErr w:type="gramStart"/>
            <w:r w:rsidRPr="008F300F">
              <w:rPr>
                <w:rFonts w:ascii="Times New Roman" w:hAnsi="Times New Roman"/>
                <w:lang w:val="en-US"/>
              </w:rPr>
              <w:t>contextualize</w:t>
            </w:r>
            <w:proofErr w:type="gramEnd"/>
            <w:r w:rsidRPr="008F300F">
              <w:rPr>
                <w:rFonts w:ascii="Times New Roman" w:hAnsi="Times New Roman"/>
                <w:lang w:val="en-US"/>
              </w:rPr>
              <w:t xml:space="preserve"> and adopt </w:t>
            </w:r>
            <w:r w:rsidR="008F300F">
              <w:rPr>
                <w:rFonts w:ascii="Times New Roman" w:hAnsi="Times New Roman"/>
                <w:lang w:val="en-US"/>
              </w:rPr>
              <w:t xml:space="preserve">the </w:t>
            </w:r>
            <w:r w:rsidRPr="008F300F">
              <w:rPr>
                <w:rFonts w:ascii="Times New Roman" w:hAnsi="Times New Roman"/>
                <w:lang w:val="en-US"/>
              </w:rPr>
              <w:t xml:space="preserve">best regulatory principles and key performance indicators for the ECOWAS region. It will involve the development of </w:t>
            </w:r>
            <w:r w:rsidR="008F300F">
              <w:rPr>
                <w:rFonts w:ascii="Times New Roman" w:hAnsi="Times New Roman"/>
                <w:lang w:val="en-US"/>
              </w:rPr>
              <w:t>gender-sensitive</w:t>
            </w:r>
            <w:r w:rsidRPr="008F300F">
              <w:rPr>
                <w:rFonts w:ascii="Times New Roman" w:hAnsi="Times New Roman"/>
                <w:lang w:val="en-US"/>
              </w:rPr>
              <w:t xml:space="preserve"> guidelines and frameworks that espouse regulatory principles, </w:t>
            </w:r>
            <w:proofErr w:type="gramStart"/>
            <w:r w:rsidRPr="008F300F">
              <w:rPr>
                <w:rFonts w:ascii="Times New Roman" w:hAnsi="Times New Roman"/>
                <w:lang w:val="en-US"/>
              </w:rPr>
              <w:t>practices</w:t>
            </w:r>
            <w:proofErr w:type="gramEnd"/>
            <w:r w:rsidRPr="008F300F">
              <w:rPr>
                <w:rFonts w:ascii="Times New Roman" w:hAnsi="Times New Roman"/>
                <w:lang w:val="en-US"/>
              </w:rPr>
              <w:t xml:space="preserve"> and key performance indicators (KPIs) to be adopted by ECOWAS Energy Ministers. These KPIs will be consistently applied as a tool for regular regulatory </w:t>
            </w:r>
            <w:r w:rsidR="00141FF9">
              <w:rPr>
                <w:rFonts w:ascii="Times New Roman" w:hAnsi="Times New Roman"/>
                <w:lang w:val="en-US"/>
              </w:rPr>
              <w:t>peer reviews</w:t>
            </w:r>
            <w:r w:rsidRPr="008F300F">
              <w:rPr>
                <w:rFonts w:ascii="Times New Roman" w:hAnsi="Times New Roman"/>
                <w:lang w:val="en-US"/>
              </w:rPr>
              <w:t xml:space="preserve"> in the region to track </w:t>
            </w:r>
            <w:r w:rsidR="00141FF9">
              <w:rPr>
                <w:rFonts w:ascii="Times New Roman" w:hAnsi="Times New Roman"/>
                <w:lang w:val="en-US"/>
              </w:rPr>
              <w:t xml:space="preserve">the </w:t>
            </w:r>
            <w:r w:rsidRPr="008F300F">
              <w:rPr>
                <w:rFonts w:ascii="Times New Roman" w:hAnsi="Times New Roman"/>
                <w:lang w:val="en-US"/>
              </w:rPr>
              <w:t xml:space="preserve">progress of adoption and implementation by member countries. The other dimension of this project component </w:t>
            </w:r>
            <w:r w:rsidR="00595315" w:rsidRPr="008F300F">
              <w:rPr>
                <w:rFonts w:ascii="Times New Roman" w:hAnsi="Times New Roman"/>
                <w:lang w:val="en-US"/>
              </w:rPr>
              <w:t>is the</w:t>
            </w:r>
            <w:r w:rsidRPr="008F300F">
              <w:rPr>
                <w:rFonts w:ascii="Times New Roman" w:hAnsi="Times New Roman"/>
                <w:lang w:val="en-US"/>
              </w:rPr>
              <w:t xml:space="preserve"> elaboration of a standardized comparative dataset and utility key performance indicators (UKPIs) for the region to uniformly assess, compare and track </w:t>
            </w:r>
            <w:r w:rsidR="008F300F">
              <w:rPr>
                <w:rFonts w:ascii="Times New Roman" w:hAnsi="Times New Roman"/>
                <w:lang w:val="en-US"/>
              </w:rPr>
              <w:t xml:space="preserve">the </w:t>
            </w:r>
            <w:r w:rsidRPr="008F300F">
              <w:rPr>
                <w:rFonts w:ascii="Times New Roman" w:hAnsi="Times New Roman"/>
                <w:lang w:val="en-US"/>
              </w:rPr>
              <w:t>performance of utilities in member countries for benchmarking. The utility KPIs would be aligned with the World Bank’s “State of Africa Utility Assessment Study” and development of the “Utility Performance and Behavior in Africa Today (UPBEAT</w:t>
            </w:r>
            <w:r w:rsidR="00595315" w:rsidRPr="008F300F">
              <w:rPr>
                <w:rFonts w:ascii="Times New Roman" w:hAnsi="Times New Roman"/>
                <w:lang w:val="en-US"/>
              </w:rPr>
              <w:t>)” done</w:t>
            </w:r>
            <w:r w:rsidRPr="008F300F">
              <w:rPr>
                <w:rFonts w:ascii="Times New Roman" w:hAnsi="Times New Roman"/>
                <w:lang w:val="en-US"/>
              </w:rPr>
              <w:t xml:space="preserve"> in collaboration with AfDB and Association of Power Utilities of Africa (APUA) and contextualize in ECOWAS for regulation and regional harmonization purposes. Capacity will be built in ECOWAS member countries to sustain further development and maturation of the adopted regulatory and utility KPIs and reporting on common digital platforms. This component will also institutionalize an annual publication of a report on </w:t>
            </w:r>
            <w:r w:rsidR="00141FF9">
              <w:rPr>
                <w:rFonts w:ascii="Times New Roman" w:hAnsi="Times New Roman"/>
                <w:lang w:val="en-US"/>
              </w:rPr>
              <w:t xml:space="preserve">the </w:t>
            </w:r>
            <w:r w:rsidR="00595315" w:rsidRPr="008F300F">
              <w:rPr>
                <w:rFonts w:ascii="Times New Roman" w:hAnsi="Times New Roman"/>
                <w:lang w:val="en-US"/>
              </w:rPr>
              <w:t>performance of</w:t>
            </w:r>
            <w:r w:rsidRPr="008F300F">
              <w:rPr>
                <w:rFonts w:ascii="Times New Roman" w:hAnsi="Times New Roman"/>
                <w:lang w:val="en-US"/>
              </w:rPr>
              <w:t xml:space="preserve"> Utilities across the ECOWAS member countries with specific recommendations and </w:t>
            </w:r>
            <w:r w:rsidR="00141FF9">
              <w:rPr>
                <w:rFonts w:ascii="Times New Roman" w:hAnsi="Times New Roman"/>
                <w:lang w:val="en-US"/>
              </w:rPr>
              <w:t>guidelines</w:t>
            </w:r>
            <w:r w:rsidRPr="008F300F">
              <w:rPr>
                <w:rFonts w:ascii="Times New Roman" w:hAnsi="Times New Roman"/>
                <w:lang w:val="en-US"/>
              </w:rPr>
              <w:t xml:space="preserve"> for </w:t>
            </w:r>
            <w:r w:rsidR="00595315" w:rsidRPr="008F300F">
              <w:rPr>
                <w:rFonts w:ascii="Times New Roman" w:hAnsi="Times New Roman"/>
                <w:lang w:val="en-US"/>
              </w:rPr>
              <w:t>improvement on</w:t>
            </w:r>
            <w:r w:rsidRPr="008F300F">
              <w:rPr>
                <w:rFonts w:ascii="Times New Roman" w:hAnsi="Times New Roman"/>
                <w:lang w:val="en-US"/>
              </w:rPr>
              <w:t xml:space="preserve"> utility performance, including managing GHG </w:t>
            </w:r>
            <w:r w:rsidR="008F300F">
              <w:rPr>
                <w:rFonts w:ascii="Times New Roman" w:hAnsi="Times New Roman"/>
                <w:lang w:val="en-US"/>
              </w:rPr>
              <w:t>emissions</w:t>
            </w:r>
            <w:r w:rsidRPr="008F300F">
              <w:rPr>
                <w:rFonts w:ascii="Times New Roman" w:hAnsi="Times New Roman"/>
                <w:lang w:val="en-US"/>
              </w:rPr>
              <w:t xml:space="preserve"> in the energy sector in ECOWAS. The elaboration and adoption of a regional UKPI that integrates measures to monitor, manage and report on GHG emissions in ECOWAS will be included.</w:t>
            </w:r>
          </w:p>
          <w:p w14:paraId="030AF7C5" w14:textId="77777777" w:rsidR="006D5254" w:rsidRDefault="006D5254" w:rsidP="00A13673">
            <w:pPr>
              <w:pStyle w:val="NoSpacing"/>
              <w:spacing w:line="276" w:lineRule="auto"/>
              <w:jc w:val="both"/>
              <w:rPr>
                <w:rFonts w:ascii="Times New Roman" w:hAnsi="Times New Roman"/>
                <w:lang w:val="en-US"/>
              </w:rPr>
            </w:pPr>
          </w:p>
          <w:p w14:paraId="56CFE043" w14:textId="77777777" w:rsidR="008F300F" w:rsidRPr="00A13673" w:rsidRDefault="008F300F" w:rsidP="00A13673">
            <w:pPr>
              <w:pStyle w:val="NoSpacing"/>
              <w:spacing w:line="276" w:lineRule="auto"/>
              <w:jc w:val="both"/>
              <w:rPr>
                <w:rFonts w:ascii="Times New Roman" w:hAnsi="Times New Roman"/>
                <w:lang w:val="en-US"/>
              </w:rPr>
            </w:pPr>
          </w:p>
          <w:p w14:paraId="7FDB3DCF" w14:textId="77777777" w:rsidR="006D5254" w:rsidRPr="00A13673" w:rsidRDefault="006D5254" w:rsidP="00A13673">
            <w:pPr>
              <w:pStyle w:val="ListParagraph"/>
              <w:numPr>
                <w:ilvl w:val="0"/>
                <w:numId w:val="1"/>
              </w:numPr>
              <w:autoSpaceDE w:val="0"/>
              <w:autoSpaceDN w:val="0"/>
              <w:adjustRightInd w:val="0"/>
              <w:spacing w:before="120" w:after="120" w:line="276" w:lineRule="auto"/>
              <w:jc w:val="both"/>
              <w:rPr>
                <w:b/>
                <w:bCs/>
                <w:iCs/>
                <w:sz w:val="22"/>
                <w:lang w:val="en-GB"/>
              </w:rPr>
            </w:pPr>
            <w:r w:rsidRPr="00A13673">
              <w:rPr>
                <w:b/>
                <w:bCs/>
                <w:iCs/>
                <w:sz w:val="22"/>
                <w:lang w:val="en-GB"/>
              </w:rPr>
              <w:t xml:space="preserve">Component 2: Harmonised Comparison of Electricity Tariffs (HCET) in ECOWAS and Cost Reflectivity Assessment </w:t>
            </w:r>
          </w:p>
          <w:p w14:paraId="18DF2C62" w14:textId="77777777" w:rsidR="006D5254" w:rsidRPr="00A13673" w:rsidRDefault="006D5254" w:rsidP="00A13673">
            <w:pPr>
              <w:shd w:val="clear" w:color="auto" w:fill="FFFFFF"/>
              <w:spacing w:after="270" w:line="276" w:lineRule="auto"/>
              <w:ind w:left="720"/>
              <w:contextualSpacing/>
              <w:jc w:val="both"/>
              <w:textAlignment w:val="baseline"/>
              <w:rPr>
                <w:rFonts w:ascii="Times New Roman" w:hAnsi="Times New Roman"/>
                <w:sz w:val="22"/>
                <w:szCs w:val="22"/>
              </w:rPr>
            </w:pPr>
            <w:r w:rsidRPr="00A13673">
              <w:rPr>
                <w:rFonts w:ascii="Times New Roman" w:hAnsi="Times New Roman"/>
                <w:sz w:val="22"/>
                <w:szCs w:val="22"/>
              </w:rPr>
              <w:lastRenderedPageBreak/>
              <w:t xml:space="preserve">Under this component, the Bank will support ERERA to undertake an empirical </w:t>
            </w:r>
            <w:r w:rsidR="008F300F">
              <w:rPr>
                <w:rFonts w:ascii="Times New Roman" w:hAnsi="Times New Roman"/>
                <w:sz w:val="22"/>
                <w:szCs w:val="22"/>
              </w:rPr>
              <w:t>gender-sensitive</w:t>
            </w:r>
            <w:r w:rsidRPr="00A13673">
              <w:rPr>
                <w:rFonts w:ascii="Times New Roman" w:hAnsi="Times New Roman"/>
                <w:sz w:val="22"/>
                <w:szCs w:val="22"/>
              </w:rPr>
              <w:t xml:space="preserve"> study to update the report on comparative analysis of electricity tariffs in ECOWAS that was developed in 2019 and include a cost reflectivity assessment framework and tool. This component will include </w:t>
            </w:r>
            <w:r w:rsidR="00141FF9">
              <w:rPr>
                <w:rFonts w:ascii="Times New Roman" w:hAnsi="Times New Roman"/>
                <w:sz w:val="22"/>
                <w:szCs w:val="22"/>
              </w:rPr>
              <w:t xml:space="preserve">an </w:t>
            </w:r>
            <w:r w:rsidRPr="00A13673">
              <w:rPr>
                <w:rFonts w:ascii="Times New Roman" w:hAnsi="Times New Roman"/>
                <w:sz w:val="22"/>
                <w:szCs w:val="22"/>
              </w:rPr>
              <w:t xml:space="preserve">update of tariff data for all members as well as a comparative analysis of regional electricity tariffs and the underlying drivers with a focus on cost reflectivity. The other aspect of this component will also develop a </w:t>
            </w:r>
            <w:r w:rsidR="008F300F">
              <w:rPr>
                <w:rFonts w:ascii="Times New Roman" w:hAnsi="Times New Roman"/>
                <w:sz w:val="22"/>
                <w:szCs w:val="22"/>
              </w:rPr>
              <w:t>gender-sensitive</w:t>
            </w:r>
            <w:r w:rsidRPr="00A13673">
              <w:rPr>
                <w:rFonts w:ascii="Times New Roman" w:hAnsi="Times New Roman"/>
                <w:sz w:val="22"/>
                <w:szCs w:val="22"/>
              </w:rPr>
              <w:t xml:space="preserve"> framework and tool to track and assess the process of countries migrating towards </w:t>
            </w:r>
            <w:r w:rsidR="008F300F">
              <w:rPr>
                <w:rFonts w:ascii="Times New Roman" w:hAnsi="Times New Roman"/>
                <w:sz w:val="22"/>
                <w:szCs w:val="22"/>
              </w:rPr>
              <w:t>cost-reflectivity</w:t>
            </w:r>
            <w:r w:rsidRPr="00A13673">
              <w:rPr>
                <w:rFonts w:ascii="Times New Roman" w:hAnsi="Times New Roman"/>
                <w:sz w:val="22"/>
                <w:szCs w:val="22"/>
              </w:rPr>
              <w:t xml:space="preserve"> of tariffs in accordance with the decision of the ECOWAS Energy Ministers, </w:t>
            </w:r>
            <w:r w:rsidR="00141FF9">
              <w:rPr>
                <w:rFonts w:ascii="Times New Roman" w:hAnsi="Times New Roman"/>
                <w:sz w:val="22"/>
                <w:szCs w:val="22"/>
              </w:rPr>
              <w:t>which</w:t>
            </w:r>
            <w:r w:rsidRPr="00A13673">
              <w:rPr>
                <w:rFonts w:ascii="Times New Roman" w:hAnsi="Times New Roman"/>
                <w:sz w:val="22"/>
                <w:szCs w:val="22"/>
              </w:rPr>
              <w:t xml:space="preserve"> urged Member States to migrate to </w:t>
            </w:r>
            <w:r w:rsidR="008F300F">
              <w:rPr>
                <w:rFonts w:ascii="Times New Roman" w:hAnsi="Times New Roman"/>
                <w:sz w:val="22"/>
                <w:szCs w:val="22"/>
              </w:rPr>
              <w:t>cost-reflective</w:t>
            </w:r>
            <w:r w:rsidRPr="00A13673">
              <w:rPr>
                <w:rFonts w:ascii="Times New Roman" w:hAnsi="Times New Roman"/>
                <w:sz w:val="22"/>
                <w:szCs w:val="22"/>
              </w:rPr>
              <w:t xml:space="preserve"> tariffs in order to encourage investment in </w:t>
            </w:r>
            <w:r w:rsidR="00141FF9">
              <w:rPr>
                <w:rFonts w:ascii="Times New Roman" w:hAnsi="Times New Roman"/>
                <w:sz w:val="22"/>
                <w:szCs w:val="22"/>
              </w:rPr>
              <w:t>the</w:t>
            </w:r>
            <w:r w:rsidR="008F300F">
              <w:rPr>
                <w:rFonts w:ascii="Times New Roman" w:hAnsi="Times New Roman"/>
                <w:sz w:val="22"/>
                <w:szCs w:val="22"/>
              </w:rPr>
              <w:t xml:space="preserve"> </w:t>
            </w:r>
            <w:r w:rsidR="00141FF9">
              <w:rPr>
                <w:rFonts w:ascii="Times New Roman" w:hAnsi="Times New Roman"/>
                <w:sz w:val="22"/>
                <w:szCs w:val="22"/>
              </w:rPr>
              <w:t>energy</w:t>
            </w:r>
            <w:r w:rsidRPr="00A13673">
              <w:rPr>
                <w:rFonts w:ascii="Times New Roman" w:hAnsi="Times New Roman"/>
                <w:sz w:val="22"/>
                <w:szCs w:val="22"/>
              </w:rPr>
              <w:t xml:space="preserve"> sector. The framework and assessment tool will include a focus on social </w:t>
            </w:r>
            <w:r w:rsidR="00141FF9">
              <w:rPr>
                <w:rFonts w:ascii="Times New Roman" w:hAnsi="Times New Roman"/>
                <w:sz w:val="22"/>
                <w:szCs w:val="22"/>
              </w:rPr>
              <w:t>tariff</w:t>
            </w:r>
            <w:r w:rsidRPr="00A13673">
              <w:rPr>
                <w:rFonts w:ascii="Times New Roman" w:hAnsi="Times New Roman"/>
                <w:sz w:val="22"/>
                <w:szCs w:val="22"/>
              </w:rPr>
              <w:t xml:space="preserve"> alignment in the ECOWAS region targeting poor households and </w:t>
            </w:r>
            <w:r w:rsidR="008F300F">
              <w:rPr>
                <w:rFonts w:ascii="Times New Roman" w:hAnsi="Times New Roman"/>
                <w:sz w:val="22"/>
                <w:szCs w:val="22"/>
              </w:rPr>
              <w:t>female-headed</w:t>
            </w:r>
            <w:r w:rsidRPr="00A13673">
              <w:rPr>
                <w:rFonts w:ascii="Times New Roman" w:hAnsi="Times New Roman"/>
                <w:sz w:val="22"/>
                <w:szCs w:val="22"/>
              </w:rPr>
              <w:t xml:space="preserve"> households.</w:t>
            </w:r>
          </w:p>
          <w:p w14:paraId="44B65A95" w14:textId="77777777" w:rsidR="006D5254" w:rsidRPr="00A13673" w:rsidRDefault="006D5254" w:rsidP="00A13673">
            <w:pPr>
              <w:pStyle w:val="ListParagraph"/>
              <w:numPr>
                <w:ilvl w:val="0"/>
                <w:numId w:val="1"/>
              </w:numPr>
              <w:autoSpaceDE w:val="0"/>
              <w:autoSpaceDN w:val="0"/>
              <w:adjustRightInd w:val="0"/>
              <w:spacing w:before="120" w:after="120" w:line="276" w:lineRule="auto"/>
              <w:jc w:val="both"/>
              <w:rPr>
                <w:b/>
                <w:iCs/>
                <w:sz w:val="22"/>
                <w:lang w:val="en-GB"/>
              </w:rPr>
            </w:pPr>
            <w:r w:rsidRPr="00A13673">
              <w:rPr>
                <w:b/>
                <w:bCs/>
                <w:iCs/>
                <w:sz w:val="22"/>
                <w:lang w:val="en-GB"/>
              </w:rPr>
              <w:t>Component 3: Development of a Climate-informed Energy Information and Database Management System Database (EIDBMS)</w:t>
            </w:r>
          </w:p>
          <w:p w14:paraId="22BDDBB3" w14:textId="77777777" w:rsidR="006D5254" w:rsidRPr="00A13673" w:rsidRDefault="006D5254" w:rsidP="00A13673">
            <w:pPr>
              <w:pStyle w:val="NoSpacing"/>
              <w:spacing w:line="276" w:lineRule="auto"/>
              <w:ind w:left="720"/>
              <w:jc w:val="both"/>
              <w:rPr>
                <w:rFonts w:ascii="Times New Roman" w:hAnsi="Times New Roman"/>
                <w:lang w:val="en-US"/>
              </w:rPr>
            </w:pPr>
            <w:r w:rsidRPr="00A13673">
              <w:rPr>
                <w:rFonts w:ascii="Times New Roman" w:hAnsi="Times New Roman"/>
                <w:lang w:val="en-US"/>
              </w:rPr>
              <w:t xml:space="preserve">This component of the project will among other things establish a centralized information and database system to be hosted at ERERA secretariat with access to member countries to directly feed into and retrieve information according to pre-defined templates. The Energy Information Database Management System (EIDBMS) will provide for relevant collection and analysis of </w:t>
            </w:r>
            <w:r w:rsidR="008F300F">
              <w:rPr>
                <w:rFonts w:ascii="Times New Roman" w:hAnsi="Times New Roman"/>
                <w:lang w:val="en-US"/>
              </w:rPr>
              <w:t>sex-disaggregated</w:t>
            </w:r>
            <w:r w:rsidRPr="00A13673">
              <w:rPr>
                <w:rFonts w:ascii="Times New Roman" w:hAnsi="Times New Roman"/>
                <w:lang w:val="en-US"/>
              </w:rPr>
              <w:t xml:space="preserve"> energy data to address the gender gaps in the energy sector. The project will </w:t>
            </w:r>
            <w:r w:rsidR="00C33333" w:rsidRPr="00A13673">
              <w:rPr>
                <w:rFonts w:ascii="Times New Roman" w:hAnsi="Times New Roman"/>
                <w:lang w:val="en-US"/>
              </w:rPr>
              <w:t>also build</w:t>
            </w:r>
            <w:r w:rsidRPr="00A13673">
              <w:rPr>
                <w:rFonts w:ascii="Times New Roman" w:hAnsi="Times New Roman"/>
                <w:lang w:val="en-US"/>
              </w:rPr>
              <w:t xml:space="preserve"> </w:t>
            </w:r>
            <w:r w:rsidR="0014317A">
              <w:rPr>
                <w:rFonts w:ascii="Times New Roman" w:hAnsi="Times New Roman"/>
                <w:lang w:val="en-US"/>
              </w:rPr>
              <w:t xml:space="preserve">the </w:t>
            </w:r>
            <w:r w:rsidR="0014317A" w:rsidRPr="00A13673">
              <w:rPr>
                <w:rFonts w:ascii="Times New Roman" w:hAnsi="Times New Roman"/>
                <w:lang w:val="en-US"/>
              </w:rPr>
              <w:t xml:space="preserve">capacity </w:t>
            </w:r>
            <w:r w:rsidRPr="00A13673">
              <w:rPr>
                <w:rFonts w:ascii="Times New Roman" w:hAnsi="Times New Roman"/>
                <w:lang w:val="en-US"/>
              </w:rPr>
              <w:t xml:space="preserve">of regulators, participating </w:t>
            </w:r>
            <w:proofErr w:type="gramStart"/>
            <w:r w:rsidRPr="00A13673">
              <w:rPr>
                <w:rFonts w:ascii="Times New Roman" w:hAnsi="Times New Roman"/>
                <w:lang w:val="en-US"/>
              </w:rPr>
              <w:t>utilities</w:t>
            </w:r>
            <w:proofErr w:type="gramEnd"/>
            <w:r w:rsidRPr="00A13673">
              <w:rPr>
                <w:rFonts w:ascii="Times New Roman" w:hAnsi="Times New Roman"/>
                <w:lang w:val="en-US"/>
              </w:rPr>
              <w:t xml:space="preserve"> and other relevant stakeholders in ECOWAS to upload, manage, update and retrieve information on the EIDBMS. The EIDBMS will have functionality for seamless integration with third</w:t>
            </w:r>
            <w:r w:rsidR="0014317A">
              <w:rPr>
                <w:rFonts w:ascii="Times New Roman" w:hAnsi="Times New Roman"/>
                <w:lang w:val="en-US"/>
              </w:rPr>
              <w:t>-</w:t>
            </w:r>
            <w:r w:rsidRPr="00A13673">
              <w:rPr>
                <w:rFonts w:ascii="Times New Roman" w:hAnsi="Times New Roman"/>
                <w:lang w:val="en-US"/>
              </w:rPr>
              <w:t>party sites, portals and systems including the UPBEAT platform. The climate data required to make informed decisions under the regulatory and utility KPIs will be systematically collected under the EIDBMS.</w:t>
            </w:r>
          </w:p>
          <w:p w14:paraId="68A22623" w14:textId="77777777" w:rsidR="006D5254" w:rsidRPr="00A13673" w:rsidRDefault="006D5254" w:rsidP="00A13673">
            <w:pPr>
              <w:pStyle w:val="ListParagraph"/>
              <w:numPr>
                <w:ilvl w:val="0"/>
                <w:numId w:val="1"/>
              </w:numPr>
              <w:autoSpaceDE w:val="0"/>
              <w:autoSpaceDN w:val="0"/>
              <w:adjustRightInd w:val="0"/>
              <w:spacing w:before="120" w:after="120" w:line="276" w:lineRule="auto"/>
              <w:jc w:val="both"/>
              <w:rPr>
                <w:b/>
                <w:bCs/>
                <w:iCs/>
                <w:sz w:val="22"/>
                <w:lang w:val="en-GB"/>
              </w:rPr>
            </w:pPr>
            <w:r w:rsidRPr="00A13673">
              <w:rPr>
                <w:b/>
                <w:bCs/>
                <w:iCs/>
                <w:sz w:val="22"/>
                <w:lang w:val="en-GB"/>
              </w:rPr>
              <w:t xml:space="preserve">Component 4: Assessment of Investment </w:t>
            </w:r>
            <w:r w:rsidR="0014317A">
              <w:rPr>
                <w:b/>
                <w:bCs/>
                <w:iCs/>
                <w:sz w:val="22"/>
                <w:lang w:val="en-GB"/>
              </w:rPr>
              <w:t>Bottlenecks</w:t>
            </w:r>
            <w:r w:rsidRPr="00A13673">
              <w:rPr>
                <w:b/>
                <w:bCs/>
                <w:iCs/>
                <w:sz w:val="22"/>
                <w:lang w:val="en-GB"/>
              </w:rPr>
              <w:t xml:space="preserve"> and </w:t>
            </w:r>
            <w:r w:rsidR="0014317A">
              <w:rPr>
                <w:b/>
                <w:bCs/>
                <w:iCs/>
                <w:sz w:val="22"/>
                <w:lang w:val="en-GB"/>
              </w:rPr>
              <w:t>Risks</w:t>
            </w:r>
            <w:r w:rsidRPr="00A13673">
              <w:rPr>
                <w:b/>
                <w:bCs/>
                <w:iCs/>
                <w:sz w:val="22"/>
                <w:lang w:val="en-GB"/>
              </w:rPr>
              <w:t xml:space="preserve"> in ECOWAS member countries</w:t>
            </w:r>
          </w:p>
          <w:p w14:paraId="2F9DEAD3" w14:textId="77777777" w:rsidR="006D5254" w:rsidRPr="00A13673" w:rsidRDefault="006D5254" w:rsidP="00A13673">
            <w:pPr>
              <w:autoSpaceDE w:val="0"/>
              <w:autoSpaceDN w:val="0"/>
              <w:adjustRightInd w:val="0"/>
              <w:spacing w:before="120" w:after="120" w:line="276" w:lineRule="auto"/>
              <w:ind w:left="720"/>
              <w:jc w:val="both"/>
              <w:rPr>
                <w:rFonts w:ascii="Times New Roman" w:hAnsi="Times New Roman"/>
                <w:bCs/>
                <w:iCs/>
                <w:sz w:val="22"/>
                <w:szCs w:val="22"/>
              </w:rPr>
            </w:pPr>
            <w:r w:rsidRPr="00A13673">
              <w:rPr>
                <w:rFonts w:ascii="Times New Roman" w:hAnsi="Times New Roman"/>
                <w:bCs/>
                <w:iCs/>
                <w:sz w:val="22"/>
                <w:szCs w:val="22"/>
              </w:rPr>
              <w:t xml:space="preserve">This will involve a </w:t>
            </w:r>
            <w:r w:rsidR="0014317A">
              <w:rPr>
                <w:rFonts w:ascii="Times New Roman" w:hAnsi="Times New Roman"/>
                <w:bCs/>
                <w:iCs/>
                <w:sz w:val="22"/>
                <w:szCs w:val="22"/>
              </w:rPr>
              <w:t>gender-sensitive</w:t>
            </w:r>
            <w:r w:rsidRPr="00A13673">
              <w:rPr>
                <w:rFonts w:ascii="Times New Roman" w:hAnsi="Times New Roman"/>
                <w:bCs/>
                <w:iCs/>
                <w:sz w:val="22"/>
                <w:szCs w:val="22"/>
              </w:rPr>
              <w:t xml:space="preserve"> study to assess investment bottlenecks and </w:t>
            </w:r>
            <w:r w:rsidR="0014317A">
              <w:rPr>
                <w:rFonts w:ascii="Times New Roman" w:hAnsi="Times New Roman"/>
                <w:bCs/>
                <w:iCs/>
                <w:sz w:val="22"/>
                <w:szCs w:val="22"/>
              </w:rPr>
              <w:t>risks</w:t>
            </w:r>
            <w:r w:rsidRPr="00A13673">
              <w:rPr>
                <w:rFonts w:ascii="Times New Roman" w:hAnsi="Times New Roman"/>
                <w:bCs/>
                <w:iCs/>
                <w:sz w:val="22"/>
                <w:szCs w:val="22"/>
              </w:rPr>
              <w:t xml:space="preserve"> in ECOWAS member countries and recommend </w:t>
            </w:r>
            <w:r w:rsidR="00141FF9">
              <w:rPr>
                <w:rFonts w:ascii="Times New Roman" w:hAnsi="Times New Roman"/>
                <w:bCs/>
                <w:iCs/>
                <w:sz w:val="22"/>
                <w:szCs w:val="22"/>
              </w:rPr>
              <w:t xml:space="preserve">a </w:t>
            </w:r>
            <w:r w:rsidRPr="00A13673">
              <w:rPr>
                <w:rFonts w:ascii="Times New Roman" w:hAnsi="Times New Roman"/>
                <w:bCs/>
                <w:iCs/>
                <w:sz w:val="22"/>
                <w:szCs w:val="22"/>
              </w:rPr>
              <w:t xml:space="preserve">coherent approach to progressively address ground-level barriers to investment in the power sector in the </w:t>
            </w:r>
            <w:r w:rsidR="00141FF9">
              <w:rPr>
                <w:rFonts w:ascii="Times New Roman" w:hAnsi="Times New Roman"/>
                <w:bCs/>
                <w:iCs/>
                <w:sz w:val="22"/>
                <w:szCs w:val="22"/>
              </w:rPr>
              <w:t>pre-and</w:t>
            </w:r>
            <w:r w:rsidRPr="00A13673">
              <w:rPr>
                <w:rFonts w:ascii="Times New Roman" w:hAnsi="Times New Roman"/>
                <w:bCs/>
                <w:iCs/>
                <w:sz w:val="22"/>
                <w:szCs w:val="22"/>
              </w:rPr>
              <w:t xml:space="preserve"> post-establishment phases of the regional electricity market with the objective to boost investment in the region. The assessment will include a gender analysis and recommend practical strategies to close gender gap. This study will be empirical and will cover regional projects as well as </w:t>
            </w:r>
            <w:r w:rsidR="0014317A">
              <w:rPr>
                <w:rFonts w:ascii="Times New Roman" w:hAnsi="Times New Roman"/>
                <w:bCs/>
                <w:iCs/>
                <w:sz w:val="22"/>
                <w:szCs w:val="22"/>
              </w:rPr>
              <w:t>national-level</w:t>
            </w:r>
            <w:r w:rsidRPr="00A13673">
              <w:rPr>
                <w:rFonts w:ascii="Times New Roman" w:hAnsi="Times New Roman"/>
                <w:bCs/>
                <w:iCs/>
                <w:sz w:val="22"/>
                <w:szCs w:val="22"/>
              </w:rPr>
              <w:t xml:space="preserve"> projects in member countries with regional impacts. The outcome of this component will form the basis for the development and approval of selection criteria for operators involved in the development of regional electricity infrastructure by WAPP and ERERA respectively.</w:t>
            </w:r>
          </w:p>
          <w:p w14:paraId="58467FE3" w14:textId="77777777" w:rsidR="006D5254" w:rsidRPr="00A13673" w:rsidRDefault="006D5254" w:rsidP="00A13673">
            <w:pPr>
              <w:pStyle w:val="ListParagraph"/>
              <w:numPr>
                <w:ilvl w:val="0"/>
                <w:numId w:val="1"/>
              </w:numPr>
              <w:autoSpaceDE w:val="0"/>
              <w:autoSpaceDN w:val="0"/>
              <w:adjustRightInd w:val="0"/>
              <w:spacing w:before="120" w:after="120" w:line="276" w:lineRule="auto"/>
              <w:jc w:val="both"/>
              <w:rPr>
                <w:b/>
                <w:bCs/>
                <w:iCs/>
                <w:sz w:val="22"/>
                <w:lang w:val="en-GB"/>
              </w:rPr>
            </w:pPr>
            <w:r w:rsidRPr="00A13673">
              <w:rPr>
                <w:b/>
                <w:bCs/>
                <w:iCs/>
                <w:sz w:val="22"/>
                <w:lang w:val="en-GB"/>
              </w:rPr>
              <w:t xml:space="preserve"> Component 5: Program Management</w:t>
            </w:r>
          </w:p>
          <w:p w14:paraId="23A4FC23" w14:textId="77777777" w:rsidR="006D5254" w:rsidRPr="00A13673" w:rsidRDefault="006D5254" w:rsidP="00A13673">
            <w:pPr>
              <w:spacing w:line="276" w:lineRule="auto"/>
              <w:ind w:left="720"/>
              <w:jc w:val="both"/>
              <w:rPr>
                <w:rFonts w:ascii="Times New Roman" w:hAnsi="Times New Roman"/>
                <w:sz w:val="22"/>
                <w:szCs w:val="22"/>
              </w:rPr>
            </w:pPr>
            <w:bookmarkStart w:id="1" w:name="_Hlk71213326"/>
            <w:r w:rsidRPr="00A13673">
              <w:rPr>
                <w:rFonts w:ascii="Times New Roman" w:hAnsi="Times New Roman"/>
                <w:sz w:val="22"/>
                <w:szCs w:val="22"/>
              </w:rPr>
              <w:t xml:space="preserve">ERERA will be responsible for the implementation, </w:t>
            </w:r>
            <w:r w:rsidR="00A13673" w:rsidRPr="00A13673">
              <w:rPr>
                <w:rFonts w:ascii="Times New Roman" w:hAnsi="Times New Roman"/>
                <w:sz w:val="22"/>
                <w:szCs w:val="22"/>
              </w:rPr>
              <w:t>coordination,</w:t>
            </w:r>
            <w:r w:rsidRPr="00A13673">
              <w:rPr>
                <w:rFonts w:ascii="Times New Roman" w:hAnsi="Times New Roman"/>
                <w:sz w:val="22"/>
                <w:szCs w:val="22"/>
              </w:rPr>
              <w:t xml:space="preserve"> and monitoring of the Project. A Project Implementation Unit (PIU) will be established with the necessary technical resources and will be supported by designated experts from ERERA. </w:t>
            </w:r>
            <w:bookmarkEnd w:id="1"/>
          </w:p>
          <w:p w14:paraId="0B6987EF" w14:textId="77777777" w:rsidR="00955692" w:rsidRPr="00A13673" w:rsidRDefault="006D5254" w:rsidP="00A13673">
            <w:pPr>
              <w:tabs>
                <w:tab w:val="left" w:pos="-720"/>
              </w:tabs>
              <w:suppressAutoHyphens/>
              <w:jc w:val="both"/>
              <w:rPr>
                <w:rFonts w:ascii="Times New Roman" w:hAnsi="Times New Roman"/>
                <w:spacing w:val="-3"/>
                <w:sz w:val="22"/>
                <w:szCs w:val="22"/>
                <w:lang w:val="en-US"/>
              </w:rPr>
            </w:pPr>
            <w:r w:rsidRPr="00A13673">
              <w:rPr>
                <w:rFonts w:ascii="Times New Roman" w:hAnsi="Times New Roman"/>
                <w:b/>
                <w:spacing w:val="-3"/>
                <w:sz w:val="22"/>
                <w:szCs w:val="22"/>
              </w:rPr>
              <w:br w:type="page"/>
            </w:r>
          </w:p>
          <w:p w14:paraId="6A909EA8" w14:textId="77777777" w:rsidR="00955692" w:rsidRPr="00A13673" w:rsidRDefault="00955692" w:rsidP="00A13673">
            <w:pPr>
              <w:tabs>
                <w:tab w:val="left" w:pos="-720"/>
              </w:tabs>
              <w:suppressAutoHyphens/>
              <w:spacing w:line="276" w:lineRule="auto"/>
              <w:jc w:val="both"/>
              <w:rPr>
                <w:rFonts w:ascii="Times New Roman" w:hAnsi="Times New Roman"/>
                <w:spacing w:val="-3"/>
                <w:sz w:val="22"/>
                <w:szCs w:val="22"/>
                <w:lang w:val="en-US"/>
              </w:rPr>
            </w:pPr>
            <w:r w:rsidRPr="00A13673">
              <w:rPr>
                <w:rFonts w:ascii="Times New Roman" w:hAnsi="Times New Roman"/>
                <w:spacing w:val="-3"/>
                <w:sz w:val="22"/>
                <w:szCs w:val="22"/>
                <w:lang w:val="en-US"/>
              </w:rPr>
              <w:t xml:space="preserve">4. </w:t>
            </w:r>
            <w:r w:rsidR="008173FF" w:rsidRPr="00A13673">
              <w:rPr>
                <w:rFonts w:ascii="Times New Roman" w:hAnsi="Times New Roman"/>
                <w:spacing w:val="-3"/>
                <w:sz w:val="22"/>
                <w:szCs w:val="22"/>
                <w:lang w:val="en-US"/>
              </w:rPr>
              <w:t xml:space="preserve">The Procurement of Goods, and Services, financed by the Bank, will be carried out in accordance with the Bank’s Procurement Policy for Bank Group Funded Operations dated October 2015 and in line with the provisions stated in the Grant Agreement. </w:t>
            </w:r>
            <w:r w:rsidRPr="00A13673">
              <w:rPr>
                <w:rFonts w:ascii="Times New Roman" w:hAnsi="Times New Roman"/>
                <w:spacing w:val="-3"/>
                <w:sz w:val="22"/>
                <w:szCs w:val="22"/>
                <w:lang w:val="en-US"/>
              </w:rPr>
              <w:t xml:space="preserve">Bidding documents are expected to be available in </w:t>
            </w:r>
            <w:r w:rsidR="0014317A">
              <w:rPr>
                <w:rFonts w:ascii="Times New Roman" w:hAnsi="Times New Roman"/>
                <w:spacing w:val="-3"/>
                <w:sz w:val="22"/>
                <w:szCs w:val="22"/>
                <w:lang w:val="en-US"/>
              </w:rPr>
              <w:t xml:space="preserve">the </w:t>
            </w:r>
            <w:r w:rsidR="00A13673" w:rsidRPr="00A13673">
              <w:rPr>
                <w:rFonts w:ascii="Times New Roman" w:hAnsi="Times New Roman"/>
                <w:spacing w:val="-3"/>
                <w:sz w:val="22"/>
                <w:szCs w:val="22"/>
                <w:lang w:val="en-US"/>
              </w:rPr>
              <w:t>third quarter of 2023</w:t>
            </w:r>
            <w:r w:rsidRPr="00A13673">
              <w:rPr>
                <w:rFonts w:ascii="Times New Roman" w:hAnsi="Times New Roman"/>
                <w:spacing w:val="-3"/>
                <w:sz w:val="22"/>
                <w:szCs w:val="22"/>
                <w:lang w:val="en-US"/>
              </w:rPr>
              <w:t>.</w:t>
            </w:r>
          </w:p>
          <w:p w14:paraId="49239422" w14:textId="77777777" w:rsidR="00955692" w:rsidRPr="00A13673" w:rsidRDefault="00955692" w:rsidP="00A13673">
            <w:pPr>
              <w:tabs>
                <w:tab w:val="left" w:pos="-720"/>
              </w:tabs>
              <w:suppressAutoHyphens/>
              <w:jc w:val="both"/>
              <w:rPr>
                <w:rFonts w:ascii="Times New Roman" w:hAnsi="Times New Roman"/>
                <w:spacing w:val="-3"/>
                <w:sz w:val="22"/>
                <w:szCs w:val="22"/>
                <w:lang w:val="en-US"/>
              </w:rPr>
            </w:pPr>
          </w:p>
          <w:p w14:paraId="74F6B4EA" w14:textId="77777777" w:rsidR="00955692" w:rsidRPr="00A13673" w:rsidRDefault="00955692" w:rsidP="00A13673">
            <w:pPr>
              <w:tabs>
                <w:tab w:val="left" w:pos="-720"/>
              </w:tabs>
              <w:suppressAutoHyphens/>
              <w:jc w:val="both"/>
              <w:rPr>
                <w:rFonts w:ascii="Times New Roman" w:hAnsi="Times New Roman"/>
                <w:spacing w:val="-3"/>
                <w:sz w:val="22"/>
                <w:szCs w:val="22"/>
                <w:lang w:val="en-US"/>
              </w:rPr>
            </w:pPr>
            <w:r w:rsidRPr="00A13673">
              <w:rPr>
                <w:rFonts w:ascii="Times New Roman" w:hAnsi="Times New Roman"/>
                <w:spacing w:val="-3"/>
                <w:sz w:val="22"/>
                <w:szCs w:val="22"/>
                <w:lang w:val="en-US"/>
              </w:rPr>
              <w:t xml:space="preserve">5. Interested bidders may obtain further information, and should confirm their interest, by </w:t>
            </w:r>
            <w:r w:rsidR="00595315" w:rsidRPr="00A13673">
              <w:rPr>
                <w:rFonts w:ascii="Times New Roman" w:hAnsi="Times New Roman"/>
                <w:spacing w:val="-3"/>
                <w:sz w:val="22"/>
                <w:szCs w:val="22"/>
                <w:lang w:val="en-US"/>
              </w:rPr>
              <w:t>contacting:</w:t>
            </w:r>
          </w:p>
          <w:p w14:paraId="378769AC" w14:textId="77777777" w:rsidR="00955692" w:rsidRPr="00A13673" w:rsidRDefault="00955692" w:rsidP="00A13673">
            <w:pPr>
              <w:tabs>
                <w:tab w:val="left" w:pos="-720"/>
              </w:tabs>
              <w:suppressAutoHyphens/>
              <w:jc w:val="both"/>
              <w:rPr>
                <w:rFonts w:ascii="Times New Roman" w:hAnsi="Times New Roman"/>
                <w:spacing w:val="-3"/>
                <w:sz w:val="22"/>
                <w:szCs w:val="22"/>
                <w:lang w:val="en-US"/>
              </w:rPr>
            </w:pPr>
          </w:p>
          <w:p w14:paraId="60EDBE47" w14:textId="77777777" w:rsidR="00EA4507" w:rsidRPr="00A13673" w:rsidRDefault="00EA4507" w:rsidP="00A13673">
            <w:pPr>
              <w:jc w:val="center"/>
              <w:rPr>
                <w:rFonts w:ascii="Times New Roman" w:hAnsi="Times New Roman"/>
                <w:b/>
                <w:bCs/>
                <w:color w:val="000000"/>
                <w:kern w:val="24"/>
                <w:sz w:val="22"/>
                <w:szCs w:val="22"/>
                <w:lang w:val="en-US"/>
              </w:rPr>
            </w:pPr>
            <w:r w:rsidRPr="00A13673">
              <w:rPr>
                <w:rFonts w:ascii="Times New Roman" w:hAnsi="Times New Roman"/>
                <w:b/>
                <w:bCs/>
                <w:color w:val="000000"/>
                <w:kern w:val="24"/>
                <w:sz w:val="22"/>
                <w:szCs w:val="22"/>
                <w:lang w:val="en-US"/>
              </w:rPr>
              <w:t>ECOWAS Regional Electricity Regulatory Authority</w:t>
            </w:r>
          </w:p>
          <w:p w14:paraId="1BA99EFC" w14:textId="77777777" w:rsidR="00EA4507" w:rsidRPr="00A13673" w:rsidRDefault="00EA4507" w:rsidP="00A13673">
            <w:pPr>
              <w:jc w:val="center"/>
              <w:rPr>
                <w:rFonts w:ascii="Times New Roman" w:hAnsi="Times New Roman"/>
                <w:color w:val="000000"/>
                <w:kern w:val="24"/>
                <w:sz w:val="22"/>
                <w:szCs w:val="22"/>
                <w:lang w:val="en-US"/>
              </w:rPr>
            </w:pPr>
            <w:r w:rsidRPr="00A13673">
              <w:rPr>
                <w:rFonts w:ascii="Times New Roman" w:hAnsi="Times New Roman"/>
                <w:color w:val="000000"/>
                <w:kern w:val="24"/>
                <w:sz w:val="22"/>
                <w:szCs w:val="22"/>
                <w:lang w:val="en-US"/>
              </w:rPr>
              <w:t>Energy Commission Building, Ghana Airways Avenue</w:t>
            </w:r>
          </w:p>
          <w:p w14:paraId="5544E052" w14:textId="77777777" w:rsidR="00EA4507" w:rsidRPr="00A13673" w:rsidRDefault="00EA4507" w:rsidP="00A13673">
            <w:pPr>
              <w:jc w:val="center"/>
              <w:rPr>
                <w:rFonts w:ascii="Times New Roman" w:hAnsi="Times New Roman"/>
                <w:color w:val="000000"/>
                <w:kern w:val="24"/>
                <w:sz w:val="22"/>
                <w:szCs w:val="22"/>
                <w:lang w:val="en-US"/>
              </w:rPr>
            </w:pPr>
            <w:r w:rsidRPr="00A13673">
              <w:rPr>
                <w:rFonts w:ascii="Times New Roman" w:hAnsi="Times New Roman"/>
                <w:color w:val="000000"/>
                <w:kern w:val="24"/>
                <w:sz w:val="22"/>
                <w:szCs w:val="22"/>
                <w:lang w:val="en-US"/>
              </w:rPr>
              <w:t>Behind Alliance Française, Airport Residential Area</w:t>
            </w:r>
          </w:p>
          <w:p w14:paraId="4E5E7B29" w14:textId="77777777" w:rsidR="00EA4507" w:rsidRPr="00A13673" w:rsidRDefault="00EA4507" w:rsidP="00A13673">
            <w:pPr>
              <w:jc w:val="center"/>
              <w:rPr>
                <w:rFonts w:ascii="Times New Roman" w:hAnsi="Times New Roman"/>
                <w:color w:val="000000"/>
                <w:kern w:val="24"/>
                <w:sz w:val="22"/>
                <w:szCs w:val="22"/>
                <w:lang w:val="en-US"/>
              </w:rPr>
            </w:pPr>
            <w:r w:rsidRPr="00A13673">
              <w:rPr>
                <w:rFonts w:ascii="Times New Roman" w:hAnsi="Times New Roman"/>
                <w:color w:val="000000"/>
                <w:kern w:val="24"/>
                <w:sz w:val="22"/>
                <w:szCs w:val="22"/>
                <w:lang w:val="en-US"/>
              </w:rPr>
              <w:t>PMB 76, Ministries Post Office</w:t>
            </w:r>
          </w:p>
          <w:p w14:paraId="19A7B7C7" w14:textId="77777777" w:rsidR="00EA4507" w:rsidRPr="00A13673" w:rsidRDefault="00EA4507" w:rsidP="00A13673">
            <w:pPr>
              <w:jc w:val="center"/>
              <w:rPr>
                <w:rFonts w:ascii="Times New Roman" w:hAnsi="Times New Roman"/>
                <w:color w:val="000000"/>
                <w:kern w:val="24"/>
                <w:sz w:val="22"/>
                <w:szCs w:val="22"/>
                <w:lang w:val="en-US"/>
              </w:rPr>
            </w:pPr>
            <w:r w:rsidRPr="00A13673">
              <w:rPr>
                <w:rFonts w:ascii="Times New Roman" w:hAnsi="Times New Roman"/>
                <w:color w:val="000000"/>
                <w:kern w:val="24"/>
                <w:sz w:val="22"/>
                <w:szCs w:val="22"/>
                <w:lang w:val="en-US"/>
              </w:rPr>
              <w:t>Accra, Ghana.</w:t>
            </w:r>
          </w:p>
          <w:p w14:paraId="524205A3" w14:textId="77777777" w:rsidR="00EA4507" w:rsidRPr="00A13673" w:rsidRDefault="00EA4507" w:rsidP="00A13673">
            <w:pPr>
              <w:jc w:val="center"/>
              <w:rPr>
                <w:rFonts w:ascii="Times New Roman" w:hAnsi="Times New Roman"/>
                <w:color w:val="000000"/>
                <w:kern w:val="24"/>
                <w:sz w:val="22"/>
                <w:szCs w:val="22"/>
                <w:lang w:val="en-US"/>
              </w:rPr>
            </w:pPr>
            <w:r w:rsidRPr="00A13673">
              <w:rPr>
                <w:rFonts w:ascii="Times New Roman" w:hAnsi="Times New Roman"/>
                <w:color w:val="000000"/>
                <w:kern w:val="24"/>
                <w:sz w:val="22"/>
                <w:szCs w:val="22"/>
                <w:lang w:val="en-US"/>
              </w:rPr>
              <w:t>Telephone: +233 302817047 – 9</w:t>
            </w:r>
          </w:p>
          <w:p w14:paraId="49DF2ED5" w14:textId="77777777" w:rsidR="00EA4507" w:rsidRPr="00A13673" w:rsidRDefault="00EA4507" w:rsidP="00A13673">
            <w:pPr>
              <w:jc w:val="center"/>
              <w:rPr>
                <w:rFonts w:ascii="Times New Roman" w:hAnsi="Times New Roman"/>
                <w:color w:val="000000"/>
                <w:kern w:val="24"/>
                <w:sz w:val="22"/>
                <w:szCs w:val="22"/>
                <w:lang w:val="en-US"/>
              </w:rPr>
            </w:pPr>
            <w:r w:rsidRPr="00A13673">
              <w:rPr>
                <w:rFonts w:ascii="Times New Roman" w:hAnsi="Times New Roman"/>
                <w:sz w:val="22"/>
                <w:szCs w:val="22"/>
                <w:lang w:val="en-US"/>
              </w:rPr>
              <w:t>Fax: 233 (0) 302 817 050</w:t>
            </w:r>
          </w:p>
          <w:p w14:paraId="12147B72" w14:textId="77777777" w:rsidR="00EA4507" w:rsidRPr="00A13673" w:rsidRDefault="00EA4507" w:rsidP="00A13673">
            <w:pPr>
              <w:autoSpaceDE w:val="0"/>
              <w:autoSpaceDN w:val="0"/>
              <w:adjustRightInd w:val="0"/>
              <w:jc w:val="center"/>
              <w:rPr>
                <w:rStyle w:val="Hyperlink"/>
                <w:rFonts w:ascii="Times New Roman" w:hAnsi="Times New Roman"/>
                <w:sz w:val="22"/>
                <w:szCs w:val="22"/>
                <w:lang w:val="en-US"/>
              </w:rPr>
            </w:pPr>
            <w:r w:rsidRPr="00A13673">
              <w:rPr>
                <w:rFonts w:ascii="Times New Roman" w:hAnsi="Times New Roman"/>
                <w:sz w:val="22"/>
                <w:szCs w:val="22"/>
                <w:lang w:val="en-US"/>
              </w:rPr>
              <w:t xml:space="preserve">http:// </w:t>
            </w:r>
            <w:hyperlink r:id="rId7" w:history="1">
              <w:r w:rsidRPr="00A13673">
                <w:rPr>
                  <w:rStyle w:val="Hyperlink"/>
                  <w:rFonts w:ascii="Times New Roman" w:hAnsi="Times New Roman"/>
                  <w:sz w:val="22"/>
                  <w:szCs w:val="22"/>
                  <w:lang w:val="en-US"/>
                </w:rPr>
                <w:t>https://www.erera.arrec.org</w:t>
              </w:r>
            </w:hyperlink>
          </w:p>
          <w:p w14:paraId="36D084A1" w14:textId="77777777" w:rsidR="00955692" w:rsidRPr="00A13673" w:rsidRDefault="00EA4507" w:rsidP="00A13673">
            <w:pPr>
              <w:autoSpaceDE w:val="0"/>
              <w:autoSpaceDN w:val="0"/>
              <w:adjustRightInd w:val="0"/>
              <w:jc w:val="center"/>
              <w:rPr>
                <w:rFonts w:ascii="Times New Roman" w:hAnsi="Times New Roman"/>
                <w:sz w:val="22"/>
                <w:szCs w:val="22"/>
                <w:lang w:val="en-US"/>
              </w:rPr>
            </w:pPr>
            <w:r w:rsidRPr="00A13673">
              <w:rPr>
                <w:rFonts w:ascii="Times New Roman" w:hAnsi="Times New Roman"/>
                <w:sz w:val="22"/>
                <w:szCs w:val="22"/>
                <w:lang w:val="en-US"/>
              </w:rPr>
              <w:t xml:space="preserve">Email: </w:t>
            </w:r>
            <w:hyperlink r:id="rId8" w:history="1">
              <w:r w:rsidRPr="00A13673">
                <w:rPr>
                  <w:rStyle w:val="Hyperlink"/>
                  <w:rFonts w:ascii="Times New Roman" w:hAnsi="Times New Roman"/>
                  <w:sz w:val="22"/>
                  <w:szCs w:val="22"/>
                  <w:lang w:val="en-US"/>
                </w:rPr>
                <w:t>info@errera.arrec.org</w:t>
              </w:r>
            </w:hyperlink>
          </w:p>
        </w:tc>
      </w:tr>
    </w:tbl>
    <w:p w14:paraId="69E4544D" w14:textId="77777777" w:rsidR="00955692" w:rsidRDefault="00955692">
      <w:pPr>
        <w:tabs>
          <w:tab w:val="left" w:pos="-720"/>
        </w:tabs>
        <w:suppressAutoHyphens/>
        <w:jc w:val="both"/>
        <w:rPr>
          <w:spacing w:val="-3"/>
          <w:lang w:val="en-US"/>
        </w:rPr>
      </w:pPr>
    </w:p>
    <w:sectPr w:rsidR="00955692" w:rsidSect="00A13673">
      <w:endnotePr>
        <w:numFmt w:val="decimal"/>
      </w:endnotePr>
      <w:pgSz w:w="12240" w:h="15840"/>
      <w:pgMar w:top="36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6A53" w14:textId="77777777" w:rsidR="003339A2" w:rsidRDefault="003339A2">
      <w:pPr>
        <w:spacing w:line="20" w:lineRule="exact"/>
      </w:pPr>
    </w:p>
  </w:endnote>
  <w:endnote w:type="continuationSeparator" w:id="0">
    <w:p w14:paraId="2F650376" w14:textId="77777777" w:rsidR="003339A2" w:rsidRDefault="003339A2">
      <w:r>
        <w:t xml:space="preserve"> </w:t>
      </w:r>
    </w:p>
  </w:endnote>
  <w:endnote w:type="continuationNotice" w:id="1">
    <w:p w14:paraId="011015CC" w14:textId="77777777" w:rsidR="003339A2" w:rsidRDefault="003339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8928" w14:textId="77777777" w:rsidR="003339A2" w:rsidRDefault="003339A2">
      <w:r>
        <w:separator/>
      </w:r>
    </w:p>
  </w:footnote>
  <w:footnote w:type="continuationSeparator" w:id="0">
    <w:p w14:paraId="1C085340" w14:textId="77777777" w:rsidR="003339A2" w:rsidRDefault="0033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B4FEE"/>
    <w:multiLevelType w:val="hybridMultilevel"/>
    <w:tmpl w:val="2E0E2A88"/>
    <w:lvl w:ilvl="0" w:tplc="98C428D6">
      <w:start w:val="1"/>
      <w:numFmt w:val="lowerRoman"/>
      <w:lvlText w:val="(%1)"/>
      <w:lvlJc w:val="righ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82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MDc0NTWysDA3sDRU0lEKTi0uzszPAykwrQUAchfo3iwAAAA="/>
  </w:docVars>
  <w:rsids>
    <w:rsidRoot w:val="00B90350"/>
    <w:rsid w:val="00012C25"/>
    <w:rsid w:val="000748E7"/>
    <w:rsid w:val="00096181"/>
    <w:rsid w:val="000C239C"/>
    <w:rsid w:val="00124450"/>
    <w:rsid w:val="00141FF9"/>
    <w:rsid w:val="0014317A"/>
    <w:rsid w:val="001505AF"/>
    <w:rsid w:val="001926D1"/>
    <w:rsid w:val="0021283D"/>
    <w:rsid w:val="00303E60"/>
    <w:rsid w:val="003339A2"/>
    <w:rsid w:val="00386115"/>
    <w:rsid w:val="003F7FBE"/>
    <w:rsid w:val="004E6E9F"/>
    <w:rsid w:val="00517BE7"/>
    <w:rsid w:val="005801FC"/>
    <w:rsid w:val="00595315"/>
    <w:rsid w:val="006D5254"/>
    <w:rsid w:val="008173FF"/>
    <w:rsid w:val="00844DA6"/>
    <w:rsid w:val="00874913"/>
    <w:rsid w:val="008F300F"/>
    <w:rsid w:val="009306F4"/>
    <w:rsid w:val="00955692"/>
    <w:rsid w:val="00A13673"/>
    <w:rsid w:val="00B234DC"/>
    <w:rsid w:val="00B90350"/>
    <w:rsid w:val="00BE5509"/>
    <w:rsid w:val="00C33333"/>
    <w:rsid w:val="00DD03F3"/>
    <w:rsid w:val="00DD1888"/>
    <w:rsid w:val="00EA4507"/>
    <w:rsid w:val="00F5489D"/>
    <w:rsid w:val="00FE5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C01D9"/>
  <w15:chartTrackingRefBased/>
  <w15:docId w15:val="{ED3D31C2-EDE1-4981-9C12-1FAF8188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B90350"/>
    <w:rPr>
      <w:rFonts w:ascii="Segoe UI" w:hAnsi="Segoe UI" w:cs="Segoe UI"/>
      <w:sz w:val="18"/>
      <w:szCs w:val="18"/>
    </w:rPr>
  </w:style>
  <w:style w:type="character" w:customStyle="1" w:styleId="BalloonTextChar">
    <w:name w:val="Balloon Text Char"/>
    <w:link w:val="BalloonText"/>
    <w:uiPriority w:val="99"/>
    <w:semiHidden/>
    <w:rsid w:val="00B90350"/>
    <w:rPr>
      <w:rFonts w:ascii="Segoe UI" w:hAnsi="Segoe UI" w:cs="Segoe UI"/>
      <w:sz w:val="18"/>
      <w:szCs w:val="18"/>
      <w:lang w:val="en-GB"/>
    </w:rPr>
  </w:style>
  <w:style w:type="paragraph" w:styleId="ListParagraph">
    <w:name w:val="List Paragraph"/>
    <w:aliases w:val="List Paragraph (numbered (a)),Bullets,Numbered List Paragraph,Paragraphe  revu,Figures,List Paragraph1,References,Ha,Liste 1,heading 6,LIST OF TABLES.,Heading 61,List Bullet-OpsManual,Title Style 1,List Paragraph nowy,ANNEX"/>
    <w:basedOn w:val="Normal"/>
    <w:link w:val="ListParagraphChar"/>
    <w:uiPriority w:val="34"/>
    <w:qFormat/>
    <w:rsid w:val="00DD03F3"/>
    <w:pPr>
      <w:widowControl/>
      <w:spacing w:after="160"/>
      <w:ind w:left="720"/>
    </w:pPr>
    <w:rPr>
      <w:rFonts w:ascii="Times New Roman" w:eastAsia="Calibri" w:hAnsi="Times New Roman"/>
      <w:szCs w:val="22"/>
      <w:lang w:val="en-US"/>
    </w:rPr>
  </w:style>
  <w:style w:type="character" w:customStyle="1" w:styleId="ListParagraphChar">
    <w:name w:val="List Paragraph Char"/>
    <w:aliases w:val="List Paragraph (numbered (a)) Char,Bullets Char,Numbered List Paragraph Char,Paragraphe  revu Char,Figures Char,List Paragraph1 Char,References Char,Ha Char,Liste 1 Char,heading 6 Char,LIST OF TABLES. Char,Heading 61 Char,ANNEX Char"/>
    <w:link w:val="ListParagraph"/>
    <w:uiPriority w:val="34"/>
    <w:qFormat/>
    <w:locked/>
    <w:rsid w:val="00DD03F3"/>
    <w:rPr>
      <w:rFonts w:eastAsia="Calibri"/>
      <w:sz w:val="24"/>
      <w:szCs w:val="22"/>
      <w:lang w:val="en-US" w:eastAsia="en-US"/>
    </w:rPr>
  </w:style>
  <w:style w:type="paragraph" w:styleId="NoSpacing">
    <w:name w:val="No Spacing"/>
    <w:aliases w:val="H2"/>
    <w:link w:val="NoSpacingChar"/>
    <w:uiPriority w:val="1"/>
    <w:qFormat/>
    <w:rsid w:val="006D5254"/>
    <w:rPr>
      <w:rFonts w:ascii="Calibri" w:eastAsia="Calibri" w:hAnsi="Calibri"/>
      <w:sz w:val="22"/>
      <w:szCs w:val="22"/>
      <w:lang w:eastAsia="en-US"/>
    </w:rPr>
  </w:style>
  <w:style w:type="character" w:customStyle="1" w:styleId="NoSpacingChar">
    <w:name w:val="No Spacing Char"/>
    <w:aliases w:val="H2 Char"/>
    <w:link w:val="NoSpacing"/>
    <w:uiPriority w:val="1"/>
    <w:locked/>
    <w:rsid w:val="006D5254"/>
    <w:rPr>
      <w:rFonts w:ascii="Calibri" w:eastAsia="Calibri" w:hAnsi="Calibri"/>
      <w:sz w:val="22"/>
      <w:szCs w:val="22"/>
      <w:lang w:eastAsia="en-US"/>
    </w:rPr>
  </w:style>
  <w:style w:type="character" w:styleId="Hyperlink">
    <w:name w:val="Hyperlink"/>
    <w:uiPriority w:val="99"/>
    <w:unhideWhenUsed/>
    <w:rsid w:val="00EA4507"/>
    <w:rPr>
      <w:color w:val="0000FF"/>
      <w:u w:val="single"/>
    </w:rPr>
  </w:style>
  <w:style w:type="character" w:styleId="UnresolvedMention">
    <w:name w:val="Unresolved Mention"/>
    <w:uiPriority w:val="99"/>
    <w:semiHidden/>
    <w:unhideWhenUsed/>
    <w:rsid w:val="00EA4507"/>
    <w:rPr>
      <w:color w:val="605E5C"/>
      <w:shd w:val="clear" w:color="auto" w:fill="E1DFDD"/>
    </w:rPr>
  </w:style>
  <w:style w:type="paragraph" w:styleId="Revision">
    <w:name w:val="Revision"/>
    <w:hidden/>
    <w:uiPriority w:val="99"/>
    <w:semiHidden/>
    <w:rsid w:val="00DD1888"/>
    <w:rPr>
      <w:rFonts w:ascii="CG Times" w:hAnsi="CG Time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rera.arrec.org" TargetMode="External"/><Relationship Id="rId3" Type="http://schemas.openxmlformats.org/officeDocument/2006/relationships/settings" Target="settings.xml"/><Relationship Id="rId7" Type="http://schemas.openxmlformats.org/officeDocument/2006/relationships/hyperlink" Target="https://www.erera.arr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6876</CharactersWithSpaces>
  <SharedDoc>false</SharedDoc>
  <HLinks>
    <vt:vector size="12" baseType="variant">
      <vt:variant>
        <vt:i4>2293835</vt:i4>
      </vt:variant>
      <vt:variant>
        <vt:i4>3</vt:i4>
      </vt:variant>
      <vt:variant>
        <vt:i4>0</vt:i4>
      </vt:variant>
      <vt:variant>
        <vt:i4>5</vt:i4>
      </vt:variant>
      <vt:variant>
        <vt:lpwstr>mailto:info@errera.arrec.org</vt:lpwstr>
      </vt:variant>
      <vt:variant>
        <vt:lpwstr/>
      </vt:variant>
      <vt:variant>
        <vt:i4>131161</vt:i4>
      </vt:variant>
      <vt:variant>
        <vt:i4>0</vt:i4>
      </vt:variant>
      <vt:variant>
        <vt:i4>0</vt:i4>
      </vt:variant>
      <vt:variant>
        <vt:i4>5</vt:i4>
      </vt:variant>
      <vt:variant>
        <vt:lpwstr>https://www.erera.arrec.org/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MENSAH-QUAINOO J.</dc:creator>
  <cp:keywords/>
  <dc:description/>
  <cp:lastModifiedBy>uwem thompson</cp:lastModifiedBy>
  <cp:revision>2</cp:revision>
  <cp:lastPrinted>2004-07-06T10:23:00Z</cp:lastPrinted>
  <dcterms:created xsi:type="dcterms:W3CDTF">2023-06-08T13:01:00Z</dcterms:created>
  <dcterms:modified xsi:type="dcterms:W3CDTF">2023-06-08T13:01:00Z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68c23a0c96d51dd92789d65f02c3b3eda58ca9e3ca07a77986e10ad8ab776192</vt:lpwstr>
  </property>
</Properties>
</file>